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CAEE" w14:textId="1321CBF5" w:rsidR="00E3333B" w:rsidRDefault="004452E0" w:rsidP="004452E0">
      <w:pPr>
        <w:jc w:val="center"/>
      </w:pPr>
      <w:r>
        <w:rPr>
          <w:noProof/>
        </w:rPr>
        <w:drawing>
          <wp:inline distT="0" distB="0" distL="0" distR="0" wp14:anchorId="129A34B9" wp14:editId="291E8EF4">
            <wp:extent cx="6378746" cy="838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EG.png"/>
                    <pic:cNvPicPr/>
                  </pic:nvPicPr>
                  <pic:blipFill>
                    <a:blip r:embed="rId7"/>
                    <a:stretch>
                      <a:fillRect/>
                    </a:stretch>
                  </pic:blipFill>
                  <pic:spPr>
                    <a:xfrm>
                      <a:off x="0" y="0"/>
                      <a:ext cx="6501936" cy="854388"/>
                    </a:xfrm>
                    <a:prstGeom prst="rect">
                      <a:avLst/>
                    </a:prstGeom>
                  </pic:spPr>
                </pic:pic>
              </a:graphicData>
            </a:graphic>
          </wp:inline>
        </w:drawing>
      </w:r>
    </w:p>
    <w:p w14:paraId="27BEBF44" w14:textId="77777777" w:rsidR="00E3333B" w:rsidRDefault="00E3333B" w:rsidP="00BA26D6">
      <w:pPr>
        <w:jc w:val="both"/>
      </w:pPr>
    </w:p>
    <w:p w14:paraId="5BBC4D06" w14:textId="52A9D4B7" w:rsidR="00E3333B" w:rsidRPr="001A552F" w:rsidRDefault="00437417" w:rsidP="006C5AD0">
      <w:pPr>
        <w:jc w:val="center"/>
        <w:rPr>
          <w:b/>
          <w:sz w:val="40"/>
          <w:szCs w:val="40"/>
        </w:rPr>
      </w:pPr>
      <w:r w:rsidRPr="001A552F">
        <w:rPr>
          <w:b/>
          <w:sz w:val="40"/>
          <w:szCs w:val="40"/>
        </w:rPr>
        <w:t xml:space="preserve">SYLLABUS </w:t>
      </w:r>
      <w:r w:rsidR="005036BD" w:rsidRPr="001A552F">
        <w:rPr>
          <w:b/>
          <w:sz w:val="40"/>
          <w:szCs w:val="40"/>
        </w:rPr>
        <w:t xml:space="preserve">de </w:t>
      </w:r>
      <w:r w:rsidR="00D2639E" w:rsidRPr="001A552F">
        <w:rPr>
          <w:b/>
          <w:sz w:val="40"/>
          <w:szCs w:val="40"/>
        </w:rPr>
        <w:t>Transitions et mobilités en montagne</w:t>
      </w:r>
    </w:p>
    <w:p w14:paraId="61E3B74B" w14:textId="77777777" w:rsidR="00E3333B" w:rsidRPr="004452E0" w:rsidRDefault="00E3333B" w:rsidP="00BA26D6">
      <w:pPr>
        <w:jc w:val="both"/>
        <w:rPr>
          <w:sz w:val="16"/>
          <w:szCs w:val="16"/>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943"/>
        <w:gridCol w:w="3686"/>
        <w:gridCol w:w="3685"/>
      </w:tblGrid>
      <w:tr w:rsidR="004452E0" w:rsidRPr="00B75418" w14:paraId="4E92EE87" w14:textId="77777777" w:rsidTr="001E1ABF">
        <w:tc>
          <w:tcPr>
            <w:tcW w:w="2943" w:type="dxa"/>
            <w:shd w:val="clear" w:color="auto" w:fill="F2F2F2" w:themeFill="background1" w:themeFillShade="F2"/>
          </w:tcPr>
          <w:p w14:paraId="77FBA976" w14:textId="61C57F42" w:rsidR="00AC09FD" w:rsidRPr="004452E0" w:rsidRDefault="00C878DB" w:rsidP="00BA26D6">
            <w:pPr>
              <w:jc w:val="both"/>
              <w:rPr>
                <w:rFonts w:ascii="Arial" w:hAnsi="Arial" w:cs="Arial"/>
                <w:b/>
                <w:sz w:val="20"/>
                <w:szCs w:val="20"/>
              </w:rPr>
            </w:pPr>
            <w:r w:rsidRPr="004452E0">
              <w:rPr>
                <w:rFonts w:ascii="Arial" w:hAnsi="Arial" w:cs="Arial"/>
                <w:b/>
                <w:sz w:val="20"/>
                <w:szCs w:val="20"/>
              </w:rPr>
              <w:t>Enseignant :</w:t>
            </w:r>
            <w:r w:rsidR="00841CD7" w:rsidRPr="004452E0">
              <w:rPr>
                <w:rFonts w:ascii="Arial" w:hAnsi="Arial" w:cs="Arial"/>
                <w:b/>
                <w:sz w:val="20"/>
                <w:szCs w:val="20"/>
              </w:rPr>
              <w:t xml:space="preserve"> </w:t>
            </w:r>
          </w:p>
          <w:p w14:paraId="53A95FFF" w14:textId="449C9C70" w:rsidR="00841CD7" w:rsidRPr="00C93370" w:rsidRDefault="005317B2" w:rsidP="005317B2">
            <w:pPr>
              <w:jc w:val="both"/>
              <w:rPr>
                <w:rFonts w:ascii="Arial" w:hAnsi="Arial" w:cs="Arial"/>
                <w:bCs/>
                <w:sz w:val="20"/>
                <w:szCs w:val="20"/>
              </w:rPr>
            </w:pPr>
            <w:r w:rsidRPr="00C93370">
              <w:rPr>
                <w:rFonts w:ascii="Arial" w:hAnsi="Arial" w:cs="Arial"/>
                <w:bCs/>
                <w:sz w:val="20"/>
                <w:szCs w:val="20"/>
              </w:rPr>
              <w:t>A</w:t>
            </w:r>
            <w:r w:rsidR="00C93370">
              <w:rPr>
                <w:rFonts w:ascii="Arial" w:hAnsi="Arial" w:cs="Arial"/>
                <w:bCs/>
                <w:sz w:val="20"/>
                <w:szCs w:val="20"/>
              </w:rPr>
              <w:t>naïs</w:t>
            </w:r>
            <w:r w:rsidRPr="00C93370">
              <w:rPr>
                <w:rFonts w:ascii="Arial" w:hAnsi="Arial" w:cs="Arial"/>
                <w:bCs/>
                <w:sz w:val="20"/>
                <w:szCs w:val="20"/>
              </w:rPr>
              <w:t xml:space="preserve"> </w:t>
            </w:r>
            <w:proofErr w:type="spellStart"/>
            <w:r w:rsidR="00356576" w:rsidRPr="00C93370">
              <w:rPr>
                <w:rFonts w:ascii="Arial" w:hAnsi="Arial" w:cs="Arial"/>
                <w:bCs/>
                <w:sz w:val="20"/>
                <w:szCs w:val="20"/>
              </w:rPr>
              <w:t>Degache</w:t>
            </w:r>
            <w:proofErr w:type="spellEnd"/>
            <w:r w:rsidRPr="00C93370">
              <w:rPr>
                <w:rFonts w:ascii="Arial" w:hAnsi="Arial" w:cs="Arial"/>
                <w:bCs/>
                <w:sz w:val="20"/>
                <w:szCs w:val="20"/>
              </w:rPr>
              <w:t>, Doctorant</w:t>
            </w:r>
            <w:r w:rsidR="00C93370">
              <w:rPr>
                <w:rFonts w:ascii="Arial" w:hAnsi="Arial" w:cs="Arial"/>
                <w:bCs/>
                <w:sz w:val="20"/>
                <w:szCs w:val="20"/>
              </w:rPr>
              <w:t>e</w:t>
            </w:r>
            <w:r w:rsidRPr="00C93370">
              <w:rPr>
                <w:rFonts w:ascii="Arial" w:hAnsi="Arial" w:cs="Arial"/>
                <w:bCs/>
                <w:sz w:val="20"/>
                <w:szCs w:val="20"/>
              </w:rPr>
              <w:t xml:space="preserve"> en sociologie, AMU</w:t>
            </w:r>
          </w:p>
          <w:p w14:paraId="7CEA6F6B" w14:textId="244C7580" w:rsidR="00356576" w:rsidRPr="00C93370" w:rsidRDefault="00C93370" w:rsidP="00C93370">
            <w:pPr>
              <w:jc w:val="both"/>
              <w:rPr>
                <w:rFonts w:ascii="Arial" w:hAnsi="Arial" w:cs="Arial"/>
                <w:bCs/>
                <w:sz w:val="20"/>
                <w:szCs w:val="20"/>
              </w:rPr>
            </w:pPr>
            <w:r>
              <w:rPr>
                <w:rFonts w:ascii="Arial" w:hAnsi="Arial" w:cs="Arial"/>
                <w:bCs/>
                <w:sz w:val="20"/>
                <w:szCs w:val="20"/>
              </w:rPr>
              <w:t>Simon</w:t>
            </w:r>
            <w:r w:rsidR="00356576" w:rsidRPr="00C93370">
              <w:rPr>
                <w:rFonts w:ascii="Arial" w:hAnsi="Arial" w:cs="Arial"/>
                <w:bCs/>
                <w:sz w:val="20"/>
                <w:szCs w:val="20"/>
              </w:rPr>
              <w:t xml:space="preserve"> Vitorge</w:t>
            </w:r>
            <w:r w:rsidR="005317B2" w:rsidRPr="00C93370">
              <w:rPr>
                <w:rFonts w:ascii="Arial" w:hAnsi="Arial" w:cs="Arial"/>
                <w:bCs/>
                <w:sz w:val="20"/>
                <w:szCs w:val="20"/>
              </w:rPr>
              <w:t xml:space="preserve">, </w:t>
            </w:r>
            <w:proofErr w:type="spellStart"/>
            <w:r w:rsidR="005317B2" w:rsidRPr="00C93370">
              <w:rPr>
                <w:rFonts w:ascii="Arial" w:hAnsi="Arial" w:cs="Arial"/>
                <w:bCs/>
                <w:sz w:val="20"/>
                <w:szCs w:val="20"/>
              </w:rPr>
              <w:t>Mobil’idées</w:t>
            </w:r>
            <w:proofErr w:type="spellEnd"/>
            <w:r w:rsidR="005317B2" w:rsidRPr="00C93370">
              <w:rPr>
                <w:rFonts w:ascii="Arial" w:hAnsi="Arial" w:cs="Arial"/>
                <w:bCs/>
                <w:sz w:val="20"/>
                <w:szCs w:val="20"/>
              </w:rPr>
              <w:t>, Gap</w:t>
            </w:r>
          </w:p>
          <w:p w14:paraId="176F8C30" w14:textId="77777777" w:rsidR="00AC09FD" w:rsidRPr="004452E0" w:rsidRDefault="00AC09FD" w:rsidP="00493FAF">
            <w:pPr>
              <w:jc w:val="both"/>
              <w:rPr>
                <w:rFonts w:ascii="Arial" w:hAnsi="Arial" w:cs="Arial"/>
                <w:sz w:val="20"/>
                <w:szCs w:val="20"/>
              </w:rPr>
            </w:pPr>
          </w:p>
        </w:tc>
        <w:tc>
          <w:tcPr>
            <w:tcW w:w="3686" w:type="dxa"/>
            <w:shd w:val="clear" w:color="auto" w:fill="F2F2F2" w:themeFill="background1" w:themeFillShade="F2"/>
          </w:tcPr>
          <w:p w14:paraId="7E39D385" w14:textId="66B028CB" w:rsidR="001A552F" w:rsidRDefault="001A552F" w:rsidP="00493FAF">
            <w:pPr>
              <w:jc w:val="both"/>
              <w:rPr>
                <w:rFonts w:ascii="Arial" w:hAnsi="Arial" w:cs="Arial"/>
                <w:sz w:val="20"/>
                <w:szCs w:val="20"/>
              </w:rPr>
            </w:pPr>
            <w:r>
              <w:rPr>
                <w:rFonts w:ascii="Arial" w:hAnsi="Arial" w:cs="Arial"/>
                <w:sz w:val="20"/>
                <w:szCs w:val="20"/>
              </w:rPr>
              <w:t>Description :</w:t>
            </w:r>
          </w:p>
          <w:p w14:paraId="54B88696" w14:textId="6E7C03A7" w:rsidR="00356576" w:rsidRPr="004452E0" w:rsidRDefault="001E1ABF" w:rsidP="00493FAF">
            <w:pPr>
              <w:jc w:val="both"/>
              <w:rPr>
                <w:rFonts w:ascii="Arial" w:hAnsi="Arial" w:cs="Arial"/>
                <w:sz w:val="20"/>
                <w:szCs w:val="20"/>
              </w:rPr>
            </w:pPr>
            <w:r w:rsidRPr="004452E0">
              <w:rPr>
                <w:rFonts w:ascii="Arial" w:hAnsi="Arial" w:cs="Arial"/>
                <w:sz w:val="20"/>
                <w:szCs w:val="20"/>
              </w:rPr>
              <w:t>Volume horaire :</w:t>
            </w:r>
            <w:r w:rsidR="005036BD" w:rsidRPr="004452E0">
              <w:rPr>
                <w:rFonts w:ascii="Arial" w:hAnsi="Arial" w:cs="Arial"/>
                <w:sz w:val="20"/>
                <w:szCs w:val="20"/>
              </w:rPr>
              <w:t xml:space="preserve"> </w:t>
            </w:r>
            <w:r w:rsidR="00356576">
              <w:rPr>
                <w:rFonts w:ascii="Arial" w:hAnsi="Arial" w:cs="Arial"/>
                <w:sz w:val="20"/>
                <w:szCs w:val="20"/>
              </w:rPr>
              <w:t>6</w:t>
            </w:r>
            <w:r w:rsidR="00C93370">
              <w:rPr>
                <w:rFonts w:ascii="Arial" w:hAnsi="Arial" w:cs="Arial"/>
                <w:sz w:val="20"/>
                <w:szCs w:val="20"/>
              </w:rPr>
              <w:t>h</w:t>
            </w:r>
            <w:r w:rsidR="00356576">
              <w:rPr>
                <w:rFonts w:ascii="Arial" w:hAnsi="Arial" w:cs="Arial"/>
                <w:sz w:val="20"/>
                <w:szCs w:val="20"/>
              </w:rPr>
              <w:t xml:space="preserve"> CM/12</w:t>
            </w:r>
            <w:r w:rsidR="00C93370">
              <w:rPr>
                <w:rFonts w:ascii="Arial" w:hAnsi="Arial" w:cs="Arial"/>
                <w:sz w:val="20"/>
                <w:szCs w:val="20"/>
              </w:rPr>
              <w:t>h</w:t>
            </w:r>
            <w:r w:rsidR="00356576">
              <w:rPr>
                <w:rFonts w:ascii="Arial" w:hAnsi="Arial" w:cs="Arial"/>
                <w:sz w:val="20"/>
                <w:szCs w:val="20"/>
              </w:rPr>
              <w:t>TD</w:t>
            </w:r>
          </w:p>
        </w:tc>
        <w:tc>
          <w:tcPr>
            <w:tcW w:w="3685" w:type="dxa"/>
            <w:shd w:val="clear" w:color="auto" w:fill="F2F2F2" w:themeFill="background1" w:themeFillShade="F2"/>
          </w:tcPr>
          <w:p w14:paraId="46100B53" w14:textId="353AAEF5" w:rsidR="00AC09FD" w:rsidRPr="00B75418" w:rsidRDefault="00AC09FD" w:rsidP="00BA26D6">
            <w:pPr>
              <w:jc w:val="both"/>
              <w:rPr>
                <w:rFonts w:ascii="Arial" w:hAnsi="Arial" w:cs="Arial"/>
                <w:sz w:val="20"/>
                <w:szCs w:val="20"/>
              </w:rPr>
            </w:pPr>
            <w:r w:rsidRPr="00B75418">
              <w:rPr>
                <w:rFonts w:ascii="Arial" w:hAnsi="Arial" w:cs="Arial"/>
                <w:sz w:val="20"/>
                <w:szCs w:val="20"/>
              </w:rPr>
              <w:t>Informations</w:t>
            </w:r>
            <w:r w:rsidR="007E457B" w:rsidRPr="00B75418">
              <w:rPr>
                <w:rFonts w:ascii="Arial" w:hAnsi="Arial" w:cs="Arial"/>
                <w:sz w:val="20"/>
                <w:szCs w:val="20"/>
              </w:rPr>
              <w:t> :</w:t>
            </w:r>
          </w:p>
          <w:p w14:paraId="4CDE3D3E" w14:textId="74C06AE6" w:rsidR="00AC09FD" w:rsidRPr="00B75418" w:rsidRDefault="004B7BCA" w:rsidP="00BA26D6">
            <w:pPr>
              <w:jc w:val="both"/>
              <w:rPr>
                <w:rFonts w:ascii="Arial" w:hAnsi="Arial" w:cs="Arial"/>
                <w:sz w:val="20"/>
                <w:szCs w:val="20"/>
              </w:rPr>
            </w:pPr>
            <w:r w:rsidRPr="00B75418">
              <w:rPr>
                <w:rFonts w:ascii="Arial" w:hAnsi="Arial" w:cs="Arial"/>
                <w:sz w:val="20"/>
                <w:szCs w:val="20"/>
              </w:rPr>
              <w:t xml:space="preserve">Diplôme : </w:t>
            </w:r>
            <w:r w:rsidR="001A552F" w:rsidRPr="00064877">
              <w:rPr>
                <w:rFonts w:ascii="Arial" w:hAnsi="Arial" w:cs="Arial"/>
                <w:b/>
                <w:bCs/>
                <w:sz w:val="20"/>
                <w:szCs w:val="20"/>
              </w:rPr>
              <w:t>Master 2 Gestion Durable des Territoires de Montagne (GDTM)</w:t>
            </w:r>
          </w:p>
          <w:p w14:paraId="2C77B549" w14:textId="3A6484B5" w:rsidR="00AC09FD" w:rsidRPr="00B75418" w:rsidRDefault="00617D06" w:rsidP="00BA26D6">
            <w:pPr>
              <w:jc w:val="both"/>
              <w:rPr>
                <w:rFonts w:ascii="Arial" w:hAnsi="Arial" w:cs="Arial"/>
                <w:sz w:val="20"/>
                <w:szCs w:val="20"/>
              </w:rPr>
            </w:pPr>
            <w:r w:rsidRPr="00B75418">
              <w:rPr>
                <w:rFonts w:ascii="Arial" w:hAnsi="Arial" w:cs="Arial"/>
                <w:sz w:val="20"/>
                <w:szCs w:val="20"/>
              </w:rPr>
              <w:t>C</w:t>
            </w:r>
            <w:r w:rsidR="00AC09FD" w:rsidRPr="00B75418">
              <w:rPr>
                <w:rFonts w:ascii="Arial" w:hAnsi="Arial" w:cs="Arial"/>
                <w:sz w:val="20"/>
                <w:szCs w:val="20"/>
              </w:rPr>
              <w:t>omposante : Faculté d’Economie et de Gestion</w:t>
            </w:r>
          </w:p>
          <w:p w14:paraId="50CC63B2" w14:textId="77777777" w:rsidR="00AC09FD" w:rsidRPr="00B75418" w:rsidRDefault="00000000" w:rsidP="00BA26D6">
            <w:pPr>
              <w:jc w:val="both"/>
              <w:rPr>
                <w:rFonts w:ascii="Arial" w:hAnsi="Arial" w:cs="Arial"/>
                <w:sz w:val="20"/>
                <w:szCs w:val="20"/>
              </w:rPr>
            </w:pPr>
            <w:hyperlink r:id="rId8" w:history="1">
              <w:r w:rsidR="00AC09FD" w:rsidRPr="00B75418">
                <w:rPr>
                  <w:rStyle w:val="Lienhypertexte"/>
                  <w:rFonts w:ascii="Arial" w:hAnsi="Arial" w:cs="Arial"/>
                  <w:color w:val="auto"/>
                  <w:sz w:val="20"/>
                  <w:szCs w:val="20"/>
                </w:rPr>
                <w:t>http://feg.univ-amu.fr/</w:t>
              </w:r>
            </w:hyperlink>
            <w:r w:rsidR="00AC09FD" w:rsidRPr="00B75418">
              <w:rPr>
                <w:rFonts w:ascii="Arial" w:hAnsi="Arial" w:cs="Arial"/>
                <w:sz w:val="20"/>
                <w:szCs w:val="20"/>
              </w:rPr>
              <w:t xml:space="preserve"> </w:t>
            </w:r>
          </w:p>
          <w:p w14:paraId="07727F86" w14:textId="0BB0CFDB" w:rsidR="00737AA3" w:rsidRPr="00B75418" w:rsidRDefault="00000000" w:rsidP="00BA26D6">
            <w:pPr>
              <w:jc w:val="both"/>
              <w:rPr>
                <w:rFonts w:ascii="Arial" w:hAnsi="Arial" w:cs="Arial"/>
                <w:sz w:val="20"/>
                <w:szCs w:val="20"/>
              </w:rPr>
            </w:pPr>
            <w:hyperlink r:id="rId9" w:history="1">
              <w:r w:rsidR="00737AA3" w:rsidRPr="00B75418">
                <w:rPr>
                  <w:rStyle w:val="Lienhypertexte"/>
                  <w:rFonts w:ascii="Arial" w:hAnsi="Arial" w:cs="Arial"/>
                  <w:color w:val="auto"/>
                  <w:sz w:val="20"/>
                  <w:szCs w:val="20"/>
                </w:rPr>
                <w:t>http://formations.univ-amu.fr</w:t>
              </w:r>
            </w:hyperlink>
          </w:p>
        </w:tc>
      </w:tr>
    </w:tbl>
    <w:p w14:paraId="75D58961" w14:textId="77777777" w:rsidR="00AC09FD" w:rsidRPr="004452E0" w:rsidRDefault="00AC09FD" w:rsidP="00BA26D6">
      <w:pPr>
        <w:jc w:val="both"/>
        <w:rPr>
          <w:sz w:val="40"/>
          <w:szCs w:val="40"/>
        </w:rPr>
        <w:sectPr w:rsidR="00AC09FD" w:rsidRPr="004452E0" w:rsidSect="00E3333B">
          <w:footerReference w:type="default" r:id="rId10"/>
          <w:pgSz w:w="11906" w:h="16838"/>
          <w:pgMar w:top="340" w:right="567" w:bottom="720" w:left="567" w:header="709" w:footer="709" w:gutter="0"/>
          <w:cols w:space="708"/>
          <w:docGrid w:linePitch="360"/>
        </w:sectPr>
      </w:pPr>
    </w:p>
    <w:p w14:paraId="1C04545D" w14:textId="77777777" w:rsidR="00AC09FD" w:rsidRPr="004452E0" w:rsidRDefault="00AC09FD" w:rsidP="00BA26D6">
      <w:pPr>
        <w:jc w:val="both"/>
        <w:rPr>
          <w:sz w:val="16"/>
          <w:szCs w:val="16"/>
        </w:rPr>
      </w:pPr>
    </w:p>
    <w:p w14:paraId="6D252CA7" w14:textId="77777777" w:rsidR="00183286" w:rsidRPr="004452E0" w:rsidRDefault="00183286" w:rsidP="00BA26D6">
      <w:pPr>
        <w:shd w:val="clear" w:color="auto" w:fill="F2F2F2" w:themeFill="background1" w:themeFillShade="F2"/>
        <w:spacing w:after="0" w:line="240" w:lineRule="auto"/>
        <w:jc w:val="both"/>
        <w:rPr>
          <w:b/>
          <w:sz w:val="28"/>
          <w:szCs w:val="28"/>
        </w:rPr>
        <w:sectPr w:rsidR="00183286" w:rsidRPr="004452E0" w:rsidSect="00AC09FD">
          <w:type w:val="continuous"/>
          <w:pgSz w:w="11906" w:h="16838"/>
          <w:pgMar w:top="340" w:right="567" w:bottom="720" w:left="567" w:header="709" w:footer="709" w:gutter="0"/>
          <w:cols w:num="2" w:space="708"/>
          <w:docGrid w:linePitch="360"/>
        </w:sectPr>
      </w:pPr>
    </w:p>
    <w:p w14:paraId="09D0B08E" w14:textId="6E065E81" w:rsidR="004B7BCA" w:rsidRPr="004452E0" w:rsidRDefault="00C2525C" w:rsidP="004B7BCA">
      <w:pPr>
        <w:shd w:val="clear" w:color="auto" w:fill="F2F2F2" w:themeFill="background1" w:themeFillShade="F2"/>
        <w:spacing w:after="0" w:line="240" w:lineRule="auto"/>
        <w:jc w:val="both"/>
        <w:rPr>
          <w:b/>
          <w:sz w:val="28"/>
          <w:szCs w:val="28"/>
        </w:rPr>
      </w:pPr>
      <w:r w:rsidRPr="004452E0">
        <w:rPr>
          <w:b/>
          <w:sz w:val="28"/>
          <w:szCs w:val="28"/>
        </w:rPr>
        <w:t>OBJECTIFS</w:t>
      </w:r>
    </w:p>
    <w:p w14:paraId="34B4A03E" w14:textId="77777777" w:rsidR="006C5AD0" w:rsidRDefault="006C5AD0" w:rsidP="006C5AD0">
      <w:pPr>
        <w:pStyle w:val="Corpsdetexte"/>
        <w:rPr>
          <w:rFonts w:ascii="Calibri" w:eastAsia="Calibri" w:hAnsi="Calibri" w:cs="Times New Roman"/>
        </w:rPr>
      </w:pPr>
      <w:bookmarkStart w:id="0" w:name="OLE_LINK10"/>
      <w:bookmarkStart w:id="1" w:name="OLE_LINK9"/>
    </w:p>
    <w:p w14:paraId="60B792A0" w14:textId="5A8B7FD9" w:rsidR="006E6E72" w:rsidRPr="004452E0" w:rsidRDefault="006C5AD0" w:rsidP="006C5AD0">
      <w:pPr>
        <w:pStyle w:val="Corpsdetexte"/>
        <w:rPr>
          <w:bCs/>
        </w:rPr>
      </w:pPr>
      <w:r w:rsidRPr="006C5AD0">
        <w:rPr>
          <w:rFonts w:ascii="Calibri" w:eastAsia="Calibri" w:hAnsi="Calibri" w:cs="Times New Roman"/>
        </w:rPr>
        <w:t xml:space="preserve">L’objectif de ce cours est d’étudier et comprendre les enjeux relatifs à la mise en place de projets d’écomobilité et de mobilités alternatives à la voiture. A travers une appréhension à la fois théorique et pratique de ces enjeux, l’objectif est de fournir les clés à </w:t>
      </w:r>
      <w:proofErr w:type="gramStart"/>
      <w:r w:rsidRPr="006C5AD0">
        <w:rPr>
          <w:rFonts w:ascii="Calibri" w:eastAsia="Calibri" w:hAnsi="Calibri" w:cs="Times New Roman"/>
        </w:rPr>
        <w:t>l’</w:t>
      </w:r>
      <w:proofErr w:type="spellStart"/>
      <w:r w:rsidRPr="006C5AD0">
        <w:rPr>
          <w:rFonts w:ascii="Calibri" w:eastAsia="Calibri" w:hAnsi="Calibri" w:cs="Times New Roman"/>
        </w:rPr>
        <w:t>étudiant.e</w:t>
      </w:r>
      <w:proofErr w:type="spellEnd"/>
      <w:proofErr w:type="gramEnd"/>
      <w:r w:rsidRPr="006C5AD0">
        <w:rPr>
          <w:rFonts w:ascii="Calibri" w:eastAsia="Calibri" w:hAnsi="Calibri" w:cs="Times New Roman"/>
        </w:rPr>
        <w:t xml:space="preserve"> pour comprendre les transformations en cours du système de mobilités vers plus durables, aussi bien dans les espaces urbains que ruraux. En particulier, un focus sera fait sur les territoires de montagne, pour lesquels il existe des problématiques spécifiques</w:t>
      </w:r>
      <w:r>
        <w:rPr>
          <w:rFonts w:ascii="Calibri" w:eastAsia="Calibri" w:hAnsi="Calibri" w:cs="Times New Roman"/>
        </w:rPr>
        <w:t>.</w:t>
      </w:r>
    </w:p>
    <w:bookmarkEnd w:id="0"/>
    <w:bookmarkEnd w:id="1"/>
    <w:p w14:paraId="459443E7" w14:textId="77777777" w:rsidR="00734B87" w:rsidRPr="004452E0" w:rsidRDefault="00734B87" w:rsidP="00C2525C">
      <w:pPr>
        <w:pStyle w:val="Corpsdetexte"/>
      </w:pPr>
    </w:p>
    <w:p w14:paraId="5D79C901" w14:textId="77777777" w:rsidR="00800D72" w:rsidRPr="004452E0" w:rsidRDefault="00800D72" w:rsidP="00C2525C">
      <w:pPr>
        <w:pStyle w:val="Corpsdetexte"/>
      </w:pPr>
    </w:p>
    <w:p w14:paraId="493D792D" w14:textId="76572072" w:rsidR="00C2525C" w:rsidRPr="004452E0" w:rsidRDefault="00C2525C" w:rsidP="00C2525C">
      <w:pPr>
        <w:shd w:val="clear" w:color="auto" w:fill="F2F2F2" w:themeFill="background1" w:themeFillShade="F2"/>
        <w:spacing w:after="0" w:line="240" w:lineRule="auto"/>
        <w:jc w:val="both"/>
        <w:rPr>
          <w:b/>
          <w:sz w:val="28"/>
          <w:szCs w:val="28"/>
        </w:rPr>
      </w:pPr>
      <w:r w:rsidRPr="004452E0">
        <w:rPr>
          <w:b/>
          <w:sz w:val="28"/>
          <w:szCs w:val="28"/>
        </w:rPr>
        <w:t>PLAN DU COURS</w:t>
      </w:r>
    </w:p>
    <w:p w14:paraId="56D71C4F" w14:textId="77777777" w:rsidR="006C5AD0" w:rsidRDefault="006C5AD0" w:rsidP="00BA26D6">
      <w:pPr>
        <w:spacing w:after="0" w:line="240" w:lineRule="auto"/>
        <w:jc w:val="both"/>
      </w:pPr>
    </w:p>
    <w:p w14:paraId="5BC558C8" w14:textId="77777777" w:rsidR="00F63249" w:rsidRDefault="006C5AD0" w:rsidP="006C5AD0">
      <w:pPr>
        <w:spacing w:after="0" w:line="240" w:lineRule="auto"/>
        <w:jc w:val="both"/>
      </w:pPr>
      <w:r>
        <w:t xml:space="preserve">Dans un premier temps, le cours se focalisera sur les différentes théories permettant de penser et accompagner la transformation des systèmes de mobilités dans le cadre de la transition </w:t>
      </w:r>
      <w:proofErr w:type="spellStart"/>
      <w:r>
        <w:t>mobilitaire</w:t>
      </w:r>
      <w:proofErr w:type="spellEnd"/>
      <w:r>
        <w:t xml:space="preserve">. </w:t>
      </w:r>
    </w:p>
    <w:p w14:paraId="5BE1A17D" w14:textId="1C9CC233" w:rsidR="006E6E72" w:rsidRDefault="006C5AD0" w:rsidP="006C5AD0">
      <w:pPr>
        <w:spacing w:after="0" w:line="240" w:lineRule="auto"/>
        <w:jc w:val="both"/>
      </w:pPr>
      <w:r>
        <w:t>Dans un deuxième temps, l’approche sera pratique</w:t>
      </w:r>
      <w:r w:rsidR="00F63249">
        <w:t xml:space="preserve"> et opérationnelle</w:t>
      </w:r>
      <w:r>
        <w:t xml:space="preserve"> avec la réalisation d’un </w:t>
      </w:r>
      <w:proofErr w:type="gramStart"/>
      <w:r>
        <w:t>challenge</w:t>
      </w:r>
      <w:proofErr w:type="gramEnd"/>
      <w:r>
        <w:t xml:space="preserve"> mobilité au sein d</w:t>
      </w:r>
      <w:r w:rsidR="002C2F3A">
        <w:t>u pôle universitaire</w:t>
      </w:r>
      <w:r>
        <w:t xml:space="preserve">. </w:t>
      </w:r>
      <w:r w:rsidR="00504F25">
        <w:t>Les étudiants devront imaginer</w:t>
      </w:r>
      <w:r>
        <w:t xml:space="preserve"> les outils pour créer un </w:t>
      </w:r>
      <w:proofErr w:type="gramStart"/>
      <w:r>
        <w:t>challenge</w:t>
      </w:r>
      <w:proofErr w:type="gramEnd"/>
      <w:r>
        <w:t xml:space="preserve"> mobilité. La réflexion sera ensuite nourrie par la présentation de projets existants locaux </w:t>
      </w:r>
      <w:r w:rsidRPr="00E33610">
        <w:rPr>
          <w:i/>
          <w:iCs/>
        </w:rPr>
        <w:t>(La Durance à vélo</w:t>
      </w:r>
      <w:r>
        <w:t xml:space="preserve"> et l’autostop organisé), puis il se terminera sur la réalisation d’un dossier mobilité sur </w:t>
      </w:r>
      <w:r w:rsidR="009E37A7">
        <w:t>le pôle</w:t>
      </w:r>
      <w:r>
        <w:t xml:space="preserve"> de Gap</w:t>
      </w:r>
      <w:r w:rsidR="009E37A7">
        <w:t>.</w:t>
      </w:r>
    </w:p>
    <w:p w14:paraId="5CF1A7A0" w14:textId="77777777" w:rsidR="006C5AD0" w:rsidRPr="006C5AD0" w:rsidRDefault="006C5AD0" w:rsidP="006C5AD0">
      <w:pPr>
        <w:spacing w:after="0" w:line="240" w:lineRule="auto"/>
        <w:jc w:val="both"/>
      </w:pPr>
    </w:p>
    <w:p w14:paraId="6C48A63F" w14:textId="0119F53C" w:rsidR="00AC09FD" w:rsidRPr="004452E0" w:rsidRDefault="00AC09FD" w:rsidP="00BA26D6">
      <w:pPr>
        <w:shd w:val="clear" w:color="auto" w:fill="F2F2F2" w:themeFill="background1" w:themeFillShade="F2"/>
        <w:spacing w:after="0" w:line="240" w:lineRule="auto"/>
        <w:jc w:val="both"/>
        <w:rPr>
          <w:b/>
          <w:sz w:val="28"/>
          <w:szCs w:val="28"/>
        </w:rPr>
      </w:pPr>
      <w:r w:rsidRPr="004452E0">
        <w:rPr>
          <w:b/>
          <w:sz w:val="28"/>
          <w:szCs w:val="28"/>
        </w:rPr>
        <w:t>COMPETENCES</w:t>
      </w:r>
      <w:r w:rsidR="001E1ABF" w:rsidRPr="004452E0">
        <w:rPr>
          <w:b/>
          <w:sz w:val="28"/>
          <w:szCs w:val="28"/>
        </w:rPr>
        <w:t xml:space="preserve"> VISEES</w:t>
      </w:r>
    </w:p>
    <w:p w14:paraId="38149DB3" w14:textId="77777777" w:rsidR="006C5AD0" w:rsidRDefault="006C5AD0" w:rsidP="00176A5A">
      <w:pPr>
        <w:spacing w:after="0"/>
        <w:jc w:val="both"/>
      </w:pPr>
    </w:p>
    <w:p w14:paraId="6994F311" w14:textId="0A35413E" w:rsidR="006C5AD0" w:rsidRDefault="006C5AD0" w:rsidP="006C5AD0">
      <w:pPr>
        <w:jc w:val="both"/>
      </w:pPr>
      <w:r>
        <w:t>Savoir analyser et comprendre ce qu’est un système de mobilité – être en mesure de le transformer – porter et monter un projet pour ce faire.</w:t>
      </w:r>
    </w:p>
    <w:p w14:paraId="07C47F28" w14:textId="25F7416F" w:rsidR="00AC09FD" w:rsidRPr="004452E0" w:rsidRDefault="003B7698" w:rsidP="00BA26D6">
      <w:pPr>
        <w:shd w:val="clear" w:color="auto" w:fill="F2F2F2" w:themeFill="background1" w:themeFillShade="F2"/>
        <w:spacing w:after="0" w:line="240" w:lineRule="auto"/>
        <w:jc w:val="both"/>
        <w:rPr>
          <w:b/>
          <w:sz w:val="28"/>
          <w:szCs w:val="28"/>
        </w:rPr>
      </w:pPr>
      <w:r w:rsidRPr="004452E0">
        <w:rPr>
          <w:b/>
          <w:sz w:val="28"/>
          <w:szCs w:val="28"/>
        </w:rPr>
        <w:t>BIBLIOGRAPHIE</w:t>
      </w:r>
    </w:p>
    <w:p w14:paraId="7D2B890A" w14:textId="77777777" w:rsidR="006C5AD0" w:rsidRDefault="006C5AD0" w:rsidP="006C5AD0">
      <w:pPr>
        <w:spacing w:after="0"/>
        <w:jc w:val="both"/>
      </w:pPr>
    </w:p>
    <w:p w14:paraId="73D0369B" w14:textId="77777777" w:rsidR="000D733D" w:rsidRDefault="000D733D" w:rsidP="000D733D">
      <w:pPr>
        <w:spacing w:after="0"/>
        <w:jc w:val="both"/>
      </w:pPr>
      <w:proofErr w:type="spellStart"/>
      <w:r w:rsidRPr="00E33610">
        <w:t>Belton</w:t>
      </w:r>
      <w:proofErr w:type="spellEnd"/>
      <w:r w:rsidRPr="00E33610">
        <w:t xml:space="preserve">-Chevallier, L., </w:t>
      </w:r>
      <w:proofErr w:type="spellStart"/>
      <w:r w:rsidRPr="00E33610">
        <w:t>Oppenchaim</w:t>
      </w:r>
      <w:proofErr w:type="spellEnd"/>
      <w:r w:rsidRPr="00E33610">
        <w:t xml:space="preserve">, N., &amp; Vincent-Geslin, S. (s. d.). </w:t>
      </w:r>
      <w:r w:rsidRPr="00E33610">
        <w:rPr>
          <w:i/>
          <w:iCs/>
        </w:rPr>
        <w:t>Manuel de sociologie des mobilités géographiques</w:t>
      </w:r>
      <w:r w:rsidRPr="00E33610">
        <w:t xml:space="preserve">. </w:t>
      </w:r>
      <w:proofErr w:type="spellStart"/>
      <w:r w:rsidRPr="00E33610">
        <w:t>Francois</w:t>
      </w:r>
      <w:proofErr w:type="spellEnd"/>
      <w:r w:rsidRPr="00E33610">
        <w:t xml:space="preserve"> Rabelais (Presses universitaires). </w:t>
      </w:r>
    </w:p>
    <w:p w14:paraId="3F1DCAF9" w14:textId="77777777" w:rsidR="000D733D" w:rsidRPr="004452E0" w:rsidRDefault="000D733D" w:rsidP="000D733D">
      <w:pPr>
        <w:spacing w:after="0" w:line="240" w:lineRule="auto"/>
        <w:jc w:val="both"/>
        <w:rPr>
          <w:rFonts w:cstheme="minorHAnsi"/>
        </w:rPr>
      </w:pPr>
      <w:r w:rsidRPr="00E33610">
        <w:t xml:space="preserve">Flipo, A., &amp; </w:t>
      </w:r>
      <w:proofErr w:type="spellStart"/>
      <w:r w:rsidRPr="00E33610">
        <w:t>Ortar</w:t>
      </w:r>
      <w:proofErr w:type="spellEnd"/>
      <w:r w:rsidRPr="00E33610">
        <w:t xml:space="preserve">, N. (2022). </w:t>
      </w:r>
      <w:r w:rsidRPr="00E33610">
        <w:rPr>
          <w:i/>
          <w:iCs/>
        </w:rPr>
        <w:t xml:space="preserve">Les territoires ruraux à l’épreuve de la transition </w:t>
      </w:r>
      <w:proofErr w:type="spellStart"/>
      <w:r w:rsidRPr="00E33610">
        <w:rPr>
          <w:i/>
          <w:iCs/>
        </w:rPr>
        <w:t>mobilitaire</w:t>
      </w:r>
      <w:proofErr w:type="spellEnd"/>
      <w:r w:rsidRPr="00E33610">
        <w:rPr>
          <w:i/>
          <w:iCs/>
        </w:rPr>
        <w:t>. Conflits et coopérations dans un système d’acteurs en transformation</w:t>
      </w:r>
      <w:r w:rsidRPr="00E33610">
        <w:t>. Norois, 264</w:t>
      </w:r>
      <w:r w:rsidRPr="00E33610">
        <w:rPr>
          <w:rFonts w:ascii="Cambria Math" w:hAnsi="Cambria Math" w:cs="Cambria Math"/>
        </w:rPr>
        <w:t>‑</w:t>
      </w:r>
      <w:r w:rsidRPr="00E33610">
        <w:t>265(3</w:t>
      </w:r>
      <w:r w:rsidRPr="00E33610">
        <w:rPr>
          <w:rFonts w:ascii="Cambria Math" w:hAnsi="Cambria Math" w:cs="Cambria Math"/>
        </w:rPr>
        <w:t>‑</w:t>
      </w:r>
      <w:r w:rsidRPr="00E33610">
        <w:t>4), 87</w:t>
      </w:r>
      <w:r w:rsidRPr="00E33610">
        <w:rPr>
          <w:rFonts w:ascii="Cambria Math" w:hAnsi="Cambria Math" w:cs="Cambria Math"/>
        </w:rPr>
        <w:t>‑</w:t>
      </w:r>
      <w:r w:rsidRPr="00E33610">
        <w:t>102.</w:t>
      </w:r>
    </w:p>
    <w:p w14:paraId="609CD6B3" w14:textId="7B2608C6" w:rsidR="006C5AD0" w:rsidRDefault="006C5AD0" w:rsidP="006C5AD0">
      <w:pPr>
        <w:spacing w:after="0"/>
        <w:jc w:val="both"/>
      </w:pPr>
      <w:proofErr w:type="spellStart"/>
      <w:r w:rsidRPr="00E33610">
        <w:t>Urry</w:t>
      </w:r>
      <w:proofErr w:type="spellEnd"/>
      <w:r w:rsidRPr="00E33610">
        <w:t xml:space="preserve">, J. (2005). Les systèmes de la mobilité. </w:t>
      </w:r>
      <w:r w:rsidRPr="00E33610">
        <w:rPr>
          <w:i/>
          <w:iCs/>
        </w:rPr>
        <w:t>Cahiers internationaux de sociologie</w:t>
      </w:r>
      <w:r w:rsidRPr="00E33610">
        <w:t>, 118(1), 23</w:t>
      </w:r>
      <w:r w:rsidRPr="00E33610">
        <w:rPr>
          <w:rFonts w:ascii="Cambria Math" w:hAnsi="Cambria Math" w:cs="Cambria Math"/>
        </w:rPr>
        <w:t>‑</w:t>
      </w:r>
      <w:r w:rsidRPr="00E33610">
        <w:t xml:space="preserve">35. </w:t>
      </w:r>
    </w:p>
    <w:p w14:paraId="005493D1" w14:textId="77777777" w:rsidR="00800D72" w:rsidRPr="004452E0" w:rsidRDefault="00800D72" w:rsidP="00BA26D6">
      <w:pPr>
        <w:spacing w:after="0" w:line="240" w:lineRule="auto"/>
        <w:jc w:val="both"/>
        <w:rPr>
          <w:rFonts w:cstheme="minorHAnsi"/>
        </w:rPr>
      </w:pPr>
    </w:p>
    <w:p w14:paraId="262E5E4B" w14:textId="0F2713F8" w:rsidR="00A6061A" w:rsidRPr="004452E0" w:rsidRDefault="00257013" w:rsidP="00BA26D6">
      <w:pPr>
        <w:shd w:val="clear" w:color="auto" w:fill="F2F2F2" w:themeFill="background1" w:themeFillShade="F2"/>
        <w:spacing w:after="0" w:line="240" w:lineRule="auto"/>
        <w:jc w:val="both"/>
        <w:rPr>
          <w:b/>
          <w:sz w:val="28"/>
          <w:szCs w:val="28"/>
        </w:rPr>
      </w:pPr>
      <w:r w:rsidRPr="004452E0">
        <w:rPr>
          <w:b/>
          <w:sz w:val="28"/>
          <w:szCs w:val="28"/>
        </w:rPr>
        <w:t>PRE</w:t>
      </w:r>
      <w:r w:rsidR="003B7698" w:rsidRPr="004452E0">
        <w:rPr>
          <w:b/>
          <w:sz w:val="28"/>
          <w:szCs w:val="28"/>
        </w:rPr>
        <w:t>-</w:t>
      </w:r>
      <w:r w:rsidR="00A876AC" w:rsidRPr="004452E0">
        <w:rPr>
          <w:b/>
          <w:sz w:val="28"/>
          <w:szCs w:val="28"/>
        </w:rPr>
        <w:t xml:space="preserve">REQUIS </w:t>
      </w:r>
    </w:p>
    <w:p w14:paraId="0EF5BDF8" w14:textId="77777777" w:rsidR="006C5AD0" w:rsidRDefault="006C5AD0" w:rsidP="00734B87">
      <w:pPr>
        <w:pStyle w:val="Corpsdetexte"/>
      </w:pPr>
    </w:p>
    <w:p w14:paraId="25969DFB" w14:textId="05B84678" w:rsidR="007C022F" w:rsidRPr="004452E0" w:rsidRDefault="006C5AD0" w:rsidP="00734B87">
      <w:pPr>
        <w:pStyle w:val="Corpsdetexte"/>
      </w:pPr>
      <w:r>
        <w:t>Compréhension du fonctionnement des institutions publiques et des politiques publiques, connaissances en matière de transition écologique, capacité d’écriture et de synthèse</w:t>
      </w:r>
      <w:r w:rsidR="00B90E87">
        <w:t>.</w:t>
      </w:r>
    </w:p>
    <w:p w14:paraId="47B76C8D" w14:textId="77777777" w:rsidR="00800D72" w:rsidRPr="004452E0" w:rsidRDefault="00800D72" w:rsidP="00734B87">
      <w:pPr>
        <w:pStyle w:val="Corpsdetexte"/>
      </w:pPr>
    </w:p>
    <w:p w14:paraId="227287BA" w14:textId="1E523037" w:rsidR="00800D72" w:rsidRPr="004452E0" w:rsidRDefault="0094509F" w:rsidP="00C2525C">
      <w:pPr>
        <w:shd w:val="clear" w:color="auto" w:fill="F2F2F2" w:themeFill="background1" w:themeFillShade="F2"/>
        <w:spacing w:after="0" w:line="240" w:lineRule="auto"/>
        <w:jc w:val="both"/>
        <w:rPr>
          <w:b/>
          <w:sz w:val="28"/>
          <w:szCs w:val="28"/>
        </w:rPr>
      </w:pPr>
      <w:r w:rsidRPr="004452E0">
        <w:rPr>
          <w:b/>
          <w:sz w:val="28"/>
          <w:szCs w:val="28"/>
        </w:rPr>
        <w:t>MOTS CLES</w:t>
      </w:r>
    </w:p>
    <w:p w14:paraId="1300EFC6" w14:textId="77777777" w:rsidR="006C5AD0" w:rsidRDefault="006C5AD0" w:rsidP="00734B87">
      <w:pPr>
        <w:pStyle w:val="Corpsdetexte"/>
      </w:pPr>
    </w:p>
    <w:p w14:paraId="2B88BA31" w14:textId="04859064" w:rsidR="005E4027" w:rsidRPr="004452E0" w:rsidRDefault="006C5AD0" w:rsidP="00734B87">
      <w:pPr>
        <w:pStyle w:val="Corpsdetexte"/>
        <w:rPr>
          <w:rFonts w:cs="Arial"/>
        </w:rPr>
      </w:pPr>
      <w:r>
        <w:t xml:space="preserve">Ecomobilité, transition </w:t>
      </w:r>
      <w:proofErr w:type="spellStart"/>
      <w:r>
        <w:t>mobilitaire</w:t>
      </w:r>
      <w:proofErr w:type="spellEnd"/>
      <w:r>
        <w:t>, système de mobilités, espaces ruraux et peu denses, territoires de montagne</w:t>
      </w:r>
    </w:p>
    <w:p w14:paraId="62CC3CD5" w14:textId="77777777" w:rsidR="00800D72" w:rsidRPr="004452E0" w:rsidRDefault="00800D72" w:rsidP="00734B87">
      <w:pPr>
        <w:pStyle w:val="Corpsdetexte"/>
        <w:rPr>
          <w:rFonts w:cs="Arial"/>
        </w:rPr>
      </w:pPr>
    </w:p>
    <w:p w14:paraId="52107C34" w14:textId="6D53E935" w:rsidR="00800D72" w:rsidRPr="004452E0" w:rsidRDefault="00800D72" w:rsidP="00800D72">
      <w:pPr>
        <w:shd w:val="clear" w:color="auto" w:fill="F2F2F2" w:themeFill="background1" w:themeFillShade="F2"/>
        <w:spacing w:after="0" w:line="240" w:lineRule="auto"/>
        <w:jc w:val="both"/>
        <w:rPr>
          <w:b/>
          <w:sz w:val="28"/>
          <w:szCs w:val="28"/>
        </w:rPr>
      </w:pPr>
      <w:r w:rsidRPr="004452E0">
        <w:rPr>
          <w:b/>
          <w:sz w:val="28"/>
          <w:szCs w:val="28"/>
        </w:rPr>
        <w:t>MODALITES D’EVALUATION</w:t>
      </w:r>
    </w:p>
    <w:p w14:paraId="304DF704" w14:textId="77777777" w:rsidR="006C5AD0" w:rsidRPr="00F23F30" w:rsidRDefault="006C5AD0" w:rsidP="007D15E9">
      <w:pPr>
        <w:pStyle w:val="Corpsdetexte"/>
        <w:rPr>
          <w:rFonts w:cs="Arial"/>
        </w:rPr>
      </w:pPr>
    </w:p>
    <w:p w14:paraId="7DD087AE" w14:textId="1A3A19C6" w:rsidR="007D15E9" w:rsidRPr="00F23F30" w:rsidRDefault="007D15E9" w:rsidP="007D15E9">
      <w:pPr>
        <w:pStyle w:val="Corpsdetexte"/>
        <w:rPr>
          <w:rFonts w:cs="Arial"/>
        </w:rPr>
      </w:pPr>
      <w:proofErr w:type="spellStart"/>
      <w:r w:rsidRPr="00F23F30">
        <w:rPr>
          <w:rFonts w:cs="Arial"/>
        </w:rPr>
        <w:t>Veuillez</w:t>
      </w:r>
      <w:r w:rsidR="00997CF9" w:rsidRPr="00F23F30">
        <w:rPr>
          <w:rFonts w:cs="Arial"/>
        </w:rPr>
        <w:t xml:space="preserve"> </w:t>
      </w:r>
      <w:r w:rsidRPr="00F23F30">
        <w:rPr>
          <w:rFonts w:cs="Arial"/>
        </w:rPr>
        <w:t>vous</w:t>
      </w:r>
      <w:proofErr w:type="spellEnd"/>
      <w:r w:rsidRPr="00F23F30">
        <w:rPr>
          <w:rFonts w:cs="Arial"/>
        </w:rPr>
        <w:t xml:space="preserve"> référer au document Modalités de Contrôle des Connaissances</w:t>
      </w:r>
      <w:r w:rsidR="004452E0" w:rsidRPr="00F23F30">
        <w:rPr>
          <w:rFonts w:cs="Arial"/>
        </w:rPr>
        <w:t xml:space="preserve"> et Compétences</w:t>
      </w:r>
      <w:r w:rsidRPr="00F23F30">
        <w:rPr>
          <w:rFonts w:cs="Arial"/>
        </w:rPr>
        <w:t xml:space="preserve"> (M</w:t>
      </w:r>
      <w:r w:rsidR="004452E0" w:rsidRPr="00F23F30">
        <w:rPr>
          <w:rFonts w:cs="Arial"/>
        </w:rPr>
        <w:t>3</w:t>
      </w:r>
      <w:r w:rsidRPr="00F23F30">
        <w:rPr>
          <w:rFonts w:cs="Arial"/>
        </w:rPr>
        <w:t>C) en ligne sur le site de la FEG (prochainement)</w:t>
      </w:r>
    </w:p>
    <w:p w14:paraId="35C33EEF" w14:textId="63916910" w:rsidR="00800D72" w:rsidRPr="00F23F30" w:rsidRDefault="007D15E9" w:rsidP="00734B87">
      <w:pPr>
        <w:pStyle w:val="Corpsdetexte"/>
        <w:rPr>
          <w:rFonts w:cs="Arial"/>
        </w:rPr>
      </w:pPr>
      <w:r w:rsidRPr="00F23F30">
        <w:rPr>
          <w:rFonts w:cs="Arial"/>
        </w:rPr>
        <w:t xml:space="preserve">   </w:t>
      </w:r>
    </w:p>
    <w:sectPr w:rsidR="00800D72" w:rsidRPr="00F23F30" w:rsidSect="00183286">
      <w:type w:val="continuous"/>
      <w:pgSz w:w="11906" w:h="16838"/>
      <w:pgMar w:top="340" w:right="567" w:bottom="720" w:left="567"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F0CD" w14:textId="77777777" w:rsidR="00382EFF" w:rsidRDefault="00382EFF" w:rsidP="00E3333B">
      <w:pPr>
        <w:spacing w:after="0" w:line="240" w:lineRule="auto"/>
      </w:pPr>
      <w:r>
        <w:separator/>
      </w:r>
    </w:p>
  </w:endnote>
  <w:endnote w:type="continuationSeparator" w:id="0">
    <w:p w14:paraId="17709349" w14:textId="77777777" w:rsidR="00382EFF" w:rsidRDefault="00382EFF" w:rsidP="00E3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43A5" w14:textId="1323AFFB" w:rsidR="006353E0" w:rsidRDefault="006353E0">
    <w:pPr>
      <w:pStyle w:val="Pieddepage"/>
    </w:pPr>
  </w:p>
  <w:p w14:paraId="6595E71B" w14:textId="77777777" w:rsidR="006353E0" w:rsidRDefault="006353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118E0" w14:textId="77777777" w:rsidR="00382EFF" w:rsidRDefault="00382EFF" w:rsidP="00E3333B">
      <w:pPr>
        <w:spacing w:after="0" w:line="240" w:lineRule="auto"/>
      </w:pPr>
      <w:r>
        <w:separator/>
      </w:r>
    </w:p>
  </w:footnote>
  <w:footnote w:type="continuationSeparator" w:id="0">
    <w:p w14:paraId="2A8E90A8" w14:textId="77777777" w:rsidR="00382EFF" w:rsidRDefault="00382EFF" w:rsidP="00E33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20CDD"/>
    <w:multiLevelType w:val="hybridMultilevel"/>
    <w:tmpl w:val="957AF54E"/>
    <w:lvl w:ilvl="0" w:tplc="C52E3012">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20AE7417"/>
    <w:multiLevelType w:val="hybridMultilevel"/>
    <w:tmpl w:val="C52EFB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0223F4"/>
    <w:multiLevelType w:val="hybridMultilevel"/>
    <w:tmpl w:val="E99E0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C831BA"/>
    <w:multiLevelType w:val="hybridMultilevel"/>
    <w:tmpl w:val="6458E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F745AB5"/>
    <w:multiLevelType w:val="hybridMultilevel"/>
    <w:tmpl w:val="3F52A91A"/>
    <w:lvl w:ilvl="0" w:tplc="040C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1935617">
    <w:abstractNumId w:val="2"/>
  </w:num>
  <w:num w:numId="2" w16cid:durableId="479276982">
    <w:abstractNumId w:val="4"/>
  </w:num>
  <w:num w:numId="3" w16cid:durableId="741565213">
    <w:abstractNumId w:val="3"/>
  </w:num>
  <w:num w:numId="4" w16cid:durableId="755521288">
    <w:abstractNumId w:val="0"/>
  </w:num>
  <w:num w:numId="5" w16cid:durableId="27021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3B"/>
    <w:rsid w:val="00007B8D"/>
    <w:rsid w:val="0001135F"/>
    <w:rsid w:val="00033910"/>
    <w:rsid w:val="000475BD"/>
    <w:rsid w:val="00064877"/>
    <w:rsid w:val="000A7720"/>
    <w:rsid w:val="000C2B6E"/>
    <w:rsid w:val="000D733D"/>
    <w:rsid w:val="000E6A58"/>
    <w:rsid w:val="0013407E"/>
    <w:rsid w:val="00176A5A"/>
    <w:rsid w:val="00183286"/>
    <w:rsid w:val="001A552F"/>
    <w:rsid w:val="001D4DC3"/>
    <w:rsid w:val="001E1ABF"/>
    <w:rsid w:val="001E6BC0"/>
    <w:rsid w:val="00257013"/>
    <w:rsid w:val="00280069"/>
    <w:rsid w:val="002A1381"/>
    <w:rsid w:val="002A1D2D"/>
    <w:rsid w:val="002C2F3A"/>
    <w:rsid w:val="002C5827"/>
    <w:rsid w:val="00356576"/>
    <w:rsid w:val="0035789F"/>
    <w:rsid w:val="0037063D"/>
    <w:rsid w:val="00382EFF"/>
    <w:rsid w:val="003B7698"/>
    <w:rsid w:val="003C2ABD"/>
    <w:rsid w:val="003E6648"/>
    <w:rsid w:val="00427FFD"/>
    <w:rsid w:val="00437417"/>
    <w:rsid w:val="004452E0"/>
    <w:rsid w:val="004629F1"/>
    <w:rsid w:val="004864E9"/>
    <w:rsid w:val="00493FAF"/>
    <w:rsid w:val="00494666"/>
    <w:rsid w:val="004B7BCA"/>
    <w:rsid w:val="005036BD"/>
    <w:rsid w:val="00504F25"/>
    <w:rsid w:val="00517405"/>
    <w:rsid w:val="005179D3"/>
    <w:rsid w:val="005317B2"/>
    <w:rsid w:val="00586656"/>
    <w:rsid w:val="005A27A5"/>
    <w:rsid w:val="005C38DC"/>
    <w:rsid w:val="005D22A3"/>
    <w:rsid w:val="005E3C88"/>
    <w:rsid w:val="005E4027"/>
    <w:rsid w:val="00615E2F"/>
    <w:rsid w:val="00617D06"/>
    <w:rsid w:val="006353E0"/>
    <w:rsid w:val="00694E1B"/>
    <w:rsid w:val="006A3707"/>
    <w:rsid w:val="006C5AD0"/>
    <w:rsid w:val="006E6E72"/>
    <w:rsid w:val="006F24B8"/>
    <w:rsid w:val="00727E1B"/>
    <w:rsid w:val="00734B87"/>
    <w:rsid w:val="00737AA3"/>
    <w:rsid w:val="007B6A84"/>
    <w:rsid w:val="007C022F"/>
    <w:rsid w:val="007D15E9"/>
    <w:rsid w:val="007D21AF"/>
    <w:rsid w:val="007E457B"/>
    <w:rsid w:val="00800D72"/>
    <w:rsid w:val="00803B8B"/>
    <w:rsid w:val="00835A63"/>
    <w:rsid w:val="00841CD7"/>
    <w:rsid w:val="008B0E7A"/>
    <w:rsid w:val="008B54C5"/>
    <w:rsid w:val="008C061F"/>
    <w:rsid w:val="008F0AD5"/>
    <w:rsid w:val="0094509F"/>
    <w:rsid w:val="00955CC6"/>
    <w:rsid w:val="00997CF9"/>
    <w:rsid w:val="009E37A7"/>
    <w:rsid w:val="00A12DC8"/>
    <w:rsid w:val="00A6061A"/>
    <w:rsid w:val="00A635E8"/>
    <w:rsid w:val="00A876AC"/>
    <w:rsid w:val="00AA04DB"/>
    <w:rsid w:val="00AC09FD"/>
    <w:rsid w:val="00AC303F"/>
    <w:rsid w:val="00B067D1"/>
    <w:rsid w:val="00B07158"/>
    <w:rsid w:val="00B11EC7"/>
    <w:rsid w:val="00B15A83"/>
    <w:rsid w:val="00B3167C"/>
    <w:rsid w:val="00B5164A"/>
    <w:rsid w:val="00B75418"/>
    <w:rsid w:val="00B90E87"/>
    <w:rsid w:val="00BA26D6"/>
    <w:rsid w:val="00BE04A9"/>
    <w:rsid w:val="00C024D0"/>
    <w:rsid w:val="00C044DE"/>
    <w:rsid w:val="00C148C9"/>
    <w:rsid w:val="00C2066E"/>
    <w:rsid w:val="00C2525C"/>
    <w:rsid w:val="00C51787"/>
    <w:rsid w:val="00C604CA"/>
    <w:rsid w:val="00C878C1"/>
    <w:rsid w:val="00C878DB"/>
    <w:rsid w:val="00C93370"/>
    <w:rsid w:val="00CB657F"/>
    <w:rsid w:val="00CD2CCE"/>
    <w:rsid w:val="00D2639E"/>
    <w:rsid w:val="00D92AE1"/>
    <w:rsid w:val="00E3333B"/>
    <w:rsid w:val="00E40F41"/>
    <w:rsid w:val="00E625C1"/>
    <w:rsid w:val="00EC67C7"/>
    <w:rsid w:val="00ED7217"/>
    <w:rsid w:val="00EF7F47"/>
    <w:rsid w:val="00F23F30"/>
    <w:rsid w:val="00F407F6"/>
    <w:rsid w:val="00F63249"/>
    <w:rsid w:val="00F80F95"/>
    <w:rsid w:val="00FA1C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8AE36"/>
  <w15:docId w15:val="{19AD2544-787E-481B-982A-F4269B9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333B"/>
    <w:pPr>
      <w:tabs>
        <w:tab w:val="center" w:pos="4536"/>
        <w:tab w:val="right" w:pos="9072"/>
      </w:tabs>
      <w:spacing w:after="0" w:line="240" w:lineRule="auto"/>
    </w:pPr>
  </w:style>
  <w:style w:type="character" w:customStyle="1" w:styleId="En-tteCar">
    <w:name w:val="En-tête Car"/>
    <w:basedOn w:val="Policepardfaut"/>
    <w:link w:val="En-tte"/>
    <w:uiPriority w:val="99"/>
    <w:rsid w:val="00E3333B"/>
  </w:style>
  <w:style w:type="paragraph" w:styleId="Pieddepage">
    <w:name w:val="footer"/>
    <w:basedOn w:val="Normal"/>
    <w:link w:val="PieddepageCar"/>
    <w:uiPriority w:val="99"/>
    <w:unhideWhenUsed/>
    <w:rsid w:val="00E333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333B"/>
  </w:style>
  <w:style w:type="paragraph" w:styleId="Textedebulles">
    <w:name w:val="Balloon Text"/>
    <w:basedOn w:val="Normal"/>
    <w:link w:val="TextedebullesCar"/>
    <w:uiPriority w:val="99"/>
    <w:semiHidden/>
    <w:unhideWhenUsed/>
    <w:rsid w:val="005C38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8DC"/>
    <w:rPr>
      <w:rFonts w:ascii="Tahoma" w:hAnsi="Tahoma" w:cs="Tahoma"/>
      <w:sz w:val="16"/>
      <w:szCs w:val="16"/>
    </w:rPr>
  </w:style>
  <w:style w:type="table" w:styleId="Grilledutableau">
    <w:name w:val="Table Grid"/>
    <w:basedOn w:val="TableauNormal"/>
    <w:uiPriority w:val="59"/>
    <w:rsid w:val="00AC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C09FD"/>
    <w:rPr>
      <w:color w:val="0563C1" w:themeColor="hyperlink"/>
      <w:u w:val="single"/>
    </w:rPr>
  </w:style>
  <w:style w:type="paragraph" w:customStyle="1" w:styleId="style7style9">
    <w:name w:val="style7 style9"/>
    <w:basedOn w:val="Normal"/>
    <w:rsid w:val="00A6061A"/>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Corpsdetexte">
    <w:name w:val="Body Text"/>
    <w:basedOn w:val="Normal"/>
    <w:link w:val="CorpsdetexteCar"/>
    <w:uiPriority w:val="99"/>
    <w:unhideWhenUsed/>
    <w:rsid w:val="00C2525C"/>
    <w:pPr>
      <w:spacing w:after="0" w:line="240" w:lineRule="auto"/>
      <w:jc w:val="both"/>
    </w:pPr>
  </w:style>
  <w:style w:type="character" w:customStyle="1" w:styleId="CorpsdetexteCar">
    <w:name w:val="Corps de texte Car"/>
    <w:basedOn w:val="Policepardfaut"/>
    <w:link w:val="Corpsdetexte"/>
    <w:uiPriority w:val="99"/>
    <w:rsid w:val="00C2525C"/>
  </w:style>
  <w:style w:type="character" w:styleId="Lienhypertextesuivivisit">
    <w:name w:val="FollowedHyperlink"/>
    <w:basedOn w:val="Policepardfaut"/>
    <w:uiPriority w:val="99"/>
    <w:semiHidden/>
    <w:unhideWhenUsed/>
    <w:rsid w:val="004452E0"/>
    <w:rPr>
      <w:color w:val="954F72" w:themeColor="followedHyperlink"/>
      <w:u w:val="single"/>
    </w:rPr>
  </w:style>
  <w:style w:type="paragraph" w:styleId="Paragraphedeliste">
    <w:name w:val="List Paragraph"/>
    <w:basedOn w:val="Normal"/>
    <w:uiPriority w:val="34"/>
    <w:qFormat/>
    <w:rsid w:val="00356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g.univ-amu.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ormations.univ-am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428</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Stanie Louarn</dc:creator>
  <cp:lastModifiedBy>HIRCZAK Maud</cp:lastModifiedBy>
  <cp:revision>21</cp:revision>
  <dcterms:created xsi:type="dcterms:W3CDTF">2024-12-06T07:46:00Z</dcterms:created>
  <dcterms:modified xsi:type="dcterms:W3CDTF">2025-03-07T15:08:00Z</dcterms:modified>
</cp:coreProperties>
</file>