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86B45" w14:textId="77777777" w:rsidR="00D3749F" w:rsidRDefault="00695FEE" w:rsidP="00695FEE">
      <w:pPr>
        <w:tabs>
          <w:tab w:val="left" w:pos="4680"/>
        </w:tabs>
        <w:jc w:val="both"/>
      </w:pPr>
      <w:r>
        <w:tab/>
      </w:r>
      <w:r>
        <w:rPr>
          <w:noProof/>
        </w:rPr>
        <w:drawing>
          <wp:inline distT="0" distB="0" distL="0" distR="0" wp14:anchorId="48BED94E" wp14:editId="5CA36312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81441" w14:textId="77777777" w:rsidR="00D3749F" w:rsidRDefault="00D3749F">
      <w:pPr>
        <w:jc w:val="both"/>
      </w:pPr>
    </w:p>
    <w:p w14:paraId="0C9DC175" w14:textId="77777777" w:rsidR="00D3749F" w:rsidRPr="00695FEE" w:rsidRDefault="00046234">
      <w:pPr>
        <w:jc w:val="center"/>
        <w:rPr>
          <w:b/>
          <w:sz w:val="40"/>
          <w:szCs w:val="40"/>
        </w:rPr>
      </w:pPr>
      <w:r w:rsidRPr="00695FEE">
        <w:rPr>
          <w:b/>
          <w:sz w:val="40"/>
          <w:szCs w:val="40"/>
        </w:rPr>
        <w:t xml:space="preserve">SYLLABUS de </w:t>
      </w:r>
      <w:r w:rsidR="00695FEE" w:rsidRPr="00695FEE">
        <w:rPr>
          <w:b/>
          <w:sz w:val="40"/>
          <w:szCs w:val="40"/>
        </w:rPr>
        <w:t>Transition é</w:t>
      </w:r>
      <w:r w:rsidRPr="00695FEE">
        <w:rPr>
          <w:b/>
          <w:sz w:val="40"/>
          <w:szCs w:val="40"/>
        </w:rPr>
        <w:t>cologi</w:t>
      </w:r>
      <w:r w:rsidR="00695FEE" w:rsidRPr="00695FEE">
        <w:rPr>
          <w:b/>
          <w:sz w:val="40"/>
          <w:szCs w:val="40"/>
        </w:rPr>
        <w:t>que</w:t>
      </w:r>
      <w:r w:rsidRPr="00695FEE">
        <w:rPr>
          <w:b/>
          <w:sz w:val="40"/>
          <w:szCs w:val="40"/>
        </w:rPr>
        <w:t xml:space="preserve"> </w:t>
      </w:r>
      <w:r w:rsidR="00695FEE" w:rsidRPr="00695FEE">
        <w:rPr>
          <w:b/>
          <w:sz w:val="40"/>
          <w:szCs w:val="40"/>
        </w:rPr>
        <w:t xml:space="preserve">et </w:t>
      </w:r>
      <w:r w:rsidRPr="00695FEE">
        <w:rPr>
          <w:b/>
          <w:sz w:val="40"/>
          <w:szCs w:val="40"/>
        </w:rPr>
        <w:t>aménagement</w:t>
      </w:r>
      <w:r w:rsidR="00695FEE" w:rsidRPr="00695FEE">
        <w:rPr>
          <w:b/>
          <w:sz w:val="40"/>
          <w:szCs w:val="40"/>
        </w:rPr>
        <w:t xml:space="preserve"> du territoire</w:t>
      </w:r>
    </w:p>
    <w:p w14:paraId="1B134FB1" w14:textId="77777777" w:rsidR="00D3749F" w:rsidRPr="00695FEE" w:rsidRDefault="00D3749F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695FEE" w:rsidRPr="00695FEE" w14:paraId="4C004059" w14:textId="77777777">
        <w:tc>
          <w:tcPr>
            <w:tcW w:w="2943" w:type="dxa"/>
            <w:shd w:val="clear" w:color="auto" w:fill="F2F2F2" w:themeFill="background1" w:themeFillShade="F2"/>
          </w:tcPr>
          <w:p w14:paraId="4EE4F6E4" w14:textId="77777777" w:rsidR="00D3749F" w:rsidRPr="00695FEE" w:rsidRDefault="000462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5FEE">
              <w:rPr>
                <w:rFonts w:ascii="Arial" w:hAnsi="Arial" w:cs="Arial"/>
                <w:b/>
                <w:sz w:val="20"/>
                <w:szCs w:val="20"/>
              </w:rPr>
              <w:t xml:space="preserve">Enseignant : </w:t>
            </w:r>
          </w:p>
          <w:p w14:paraId="40E06E82" w14:textId="78235A9B" w:rsidR="00D3749F" w:rsidRPr="00695FEE" w:rsidRDefault="00D37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C375B" w14:textId="0DF9336C" w:rsidR="00D3749F" w:rsidRPr="004E3DDF" w:rsidRDefault="00695FEE" w:rsidP="00695FE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E3DDF">
              <w:rPr>
                <w:rFonts w:ascii="Arial" w:hAnsi="Arial" w:cs="Arial"/>
                <w:bCs/>
                <w:sz w:val="20"/>
                <w:szCs w:val="20"/>
              </w:rPr>
              <w:t>Thierry Tatoni</w:t>
            </w:r>
            <w:r w:rsidR="004E3DDF">
              <w:rPr>
                <w:rFonts w:ascii="Arial" w:hAnsi="Arial" w:cs="Arial"/>
                <w:bCs/>
                <w:sz w:val="20"/>
                <w:szCs w:val="20"/>
              </w:rPr>
              <w:t>, Professeur en écologie, AMU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2E49EDC" w14:textId="77777777" w:rsidR="00D3749F" w:rsidRPr="00695FEE" w:rsidRDefault="000462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5FEE">
              <w:rPr>
                <w:rFonts w:ascii="Arial" w:hAnsi="Arial" w:cs="Arial"/>
                <w:b/>
                <w:sz w:val="20"/>
                <w:szCs w:val="20"/>
              </w:rPr>
              <w:t>Descriptions :</w:t>
            </w:r>
          </w:p>
          <w:p w14:paraId="4824B5E8" w14:textId="77777777" w:rsidR="009D5D22" w:rsidRDefault="009D5D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AF410D" w14:textId="24FCB2F8" w:rsidR="00D3749F" w:rsidRPr="00695FEE" w:rsidRDefault="000462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EE">
              <w:rPr>
                <w:rFonts w:ascii="Arial" w:hAnsi="Arial" w:cs="Arial"/>
                <w:sz w:val="20"/>
                <w:szCs w:val="20"/>
              </w:rPr>
              <w:t>Volume horaire global : 15</w:t>
            </w:r>
            <w:r w:rsidR="00B35CF9">
              <w:rPr>
                <w:rFonts w:ascii="Arial" w:hAnsi="Arial" w:cs="Arial"/>
                <w:sz w:val="20"/>
                <w:szCs w:val="20"/>
              </w:rPr>
              <w:t>h</w:t>
            </w:r>
            <w:r w:rsidRPr="00695FEE">
              <w:rPr>
                <w:rFonts w:ascii="Arial" w:hAnsi="Arial" w:cs="Arial"/>
                <w:sz w:val="20"/>
                <w:szCs w:val="20"/>
              </w:rPr>
              <w:t>CM</w:t>
            </w:r>
            <w:r w:rsidR="00B35CF9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695FEE" w:rsidRPr="00695FEE">
              <w:rPr>
                <w:rFonts w:ascii="Arial" w:hAnsi="Arial" w:cs="Arial"/>
                <w:sz w:val="20"/>
                <w:szCs w:val="20"/>
              </w:rPr>
              <w:t>9</w:t>
            </w:r>
            <w:r w:rsidR="00B35CF9">
              <w:rPr>
                <w:rFonts w:ascii="Arial" w:hAnsi="Arial" w:cs="Arial"/>
                <w:sz w:val="20"/>
                <w:szCs w:val="20"/>
              </w:rPr>
              <w:t>h</w:t>
            </w:r>
            <w:r w:rsidR="00695FEE" w:rsidRPr="00695FEE">
              <w:rPr>
                <w:rFonts w:ascii="Arial" w:hAnsi="Arial" w:cs="Arial"/>
                <w:sz w:val="20"/>
                <w:szCs w:val="20"/>
              </w:rPr>
              <w:t>TD</w:t>
            </w:r>
            <w:r w:rsidR="00B35CF9">
              <w:rPr>
                <w:rFonts w:ascii="Arial" w:hAnsi="Arial" w:cs="Arial"/>
                <w:sz w:val="20"/>
                <w:szCs w:val="20"/>
              </w:rPr>
              <w:t xml:space="preserve"> + 1 sortie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295F758D" w14:textId="77777777" w:rsidR="00D3749F" w:rsidRPr="00695FEE" w:rsidRDefault="000462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5FEE">
              <w:rPr>
                <w:rFonts w:ascii="Arial" w:hAnsi="Arial" w:cs="Arial"/>
                <w:b/>
                <w:sz w:val="20"/>
                <w:szCs w:val="20"/>
              </w:rPr>
              <w:t>Informations :</w:t>
            </w:r>
          </w:p>
          <w:p w14:paraId="4E2D764B" w14:textId="77777777" w:rsidR="00D3749F" w:rsidRPr="00695FEE" w:rsidRDefault="0004623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95FEE">
              <w:rPr>
                <w:rFonts w:ascii="Arial" w:hAnsi="Arial" w:cs="Arial"/>
                <w:sz w:val="20"/>
                <w:szCs w:val="20"/>
              </w:rPr>
              <w:t>Diplôme </w:t>
            </w:r>
            <w:r w:rsidRPr="00695FEE">
              <w:rPr>
                <w:rFonts w:ascii="Arial" w:hAnsi="Arial" w:cs="Arial"/>
                <w:b/>
                <w:sz w:val="20"/>
                <w:szCs w:val="20"/>
              </w:rPr>
              <w:t>: M1 GDTM</w:t>
            </w:r>
          </w:p>
          <w:p w14:paraId="411FED71" w14:textId="77777777" w:rsidR="00D3749F" w:rsidRPr="00695FEE" w:rsidRDefault="00046234">
            <w:pPr>
              <w:rPr>
                <w:rFonts w:ascii="Arial" w:hAnsi="Arial" w:cs="Arial"/>
                <w:sz w:val="20"/>
                <w:szCs w:val="20"/>
              </w:rPr>
            </w:pPr>
            <w:r w:rsidRPr="00695FEE">
              <w:rPr>
                <w:rFonts w:ascii="Arial" w:hAnsi="Arial" w:cs="Arial"/>
                <w:sz w:val="20"/>
                <w:szCs w:val="20"/>
              </w:rPr>
              <w:t>Composante : Faculté d’Economie et de Gestion</w:t>
            </w:r>
          </w:p>
          <w:p w14:paraId="00E4EBDC" w14:textId="77777777" w:rsidR="00D3749F" w:rsidRPr="00695FEE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tooltip="http://feg.univ-amu.fr/" w:history="1">
              <w:r w:rsidR="00046234" w:rsidRPr="00695FEE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046234" w:rsidRPr="00695F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39084C" w14:textId="77777777" w:rsidR="00D3749F" w:rsidRPr="00695FEE" w:rsidRDefault="000000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tooltip="http://formations.univ-amu.fr" w:history="1">
              <w:r w:rsidR="00046234" w:rsidRPr="00695FEE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40B17B7C" w14:textId="77777777" w:rsidR="00D3749F" w:rsidRPr="00695FEE" w:rsidRDefault="00D3749F">
      <w:pPr>
        <w:jc w:val="both"/>
        <w:rPr>
          <w:sz w:val="40"/>
          <w:szCs w:val="40"/>
        </w:rPr>
        <w:sectPr w:rsidR="00D3749F" w:rsidRPr="00695FEE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73DB2620" w14:textId="77777777" w:rsidR="00D3749F" w:rsidRPr="00695FEE" w:rsidRDefault="00D3749F">
      <w:pPr>
        <w:jc w:val="both"/>
        <w:rPr>
          <w:sz w:val="16"/>
          <w:szCs w:val="16"/>
        </w:rPr>
      </w:pPr>
    </w:p>
    <w:p w14:paraId="395290E9" w14:textId="77777777" w:rsidR="00D3749F" w:rsidRPr="00695FEE" w:rsidRDefault="00D3749F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D3749F" w:rsidRPr="00695FEE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2F8E1B14" w14:textId="77777777" w:rsidR="00D3749F" w:rsidRPr="00695FEE" w:rsidRDefault="0004623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95FEE">
        <w:rPr>
          <w:b/>
          <w:sz w:val="28"/>
          <w:szCs w:val="28"/>
        </w:rPr>
        <w:t>OBJECTIFS</w:t>
      </w:r>
    </w:p>
    <w:p w14:paraId="2E3A949D" w14:textId="0E628A07" w:rsidR="00D3749F" w:rsidRPr="00695FEE" w:rsidRDefault="00046234" w:rsidP="00512F35">
      <w:pPr>
        <w:pStyle w:val="Corpsdetexte"/>
      </w:pPr>
      <w:bookmarkStart w:id="0" w:name="OLE_LINK10"/>
      <w:bookmarkStart w:id="1" w:name="OLE_LINK9"/>
      <w:bookmarkEnd w:id="0"/>
      <w:bookmarkEnd w:id="1"/>
      <w:r w:rsidRPr="00695FEE">
        <w:t>Avoir des notions en écologie</w:t>
      </w:r>
      <w:r w:rsidR="00512F35">
        <w:t xml:space="preserve"> scientifique</w:t>
      </w:r>
      <w:r w:rsidRPr="00695FEE">
        <w:t xml:space="preserve"> pour</w:t>
      </w:r>
      <w:r w:rsidR="00512F35">
        <w:t xml:space="preserve"> bien</w:t>
      </w:r>
      <w:r w:rsidRPr="00695FEE">
        <w:t xml:space="preserve"> comprendre les </w:t>
      </w:r>
      <w:r w:rsidR="00512F35">
        <w:t>enjeux en matière de conservation de la biodiversité, de restauration des écosystèmes et d’aménagement du territoire pour concevoir les bases de la transition écologique</w:t>
      </w:r>
      <w:r w:rsidRPr="00695FEE">
        <w:t>.</w:t>
      </w:r>
    </w:p>
    <w:p w14:paraId="186413F1" w14:textId="77777777" w:rsidR="00D3749F" w:rsidRPr="00695FEE" w:rsidRDefault="00D3749F">
      <w:pPr>
        <w:pStyle w:val="Corpsdetexte"/>
      </w:pPr>
    </w:p>
    <w:p w14:paraId="525DD446" w14:textId="77777777" w:rsidR="00D3749F" w:rsidRPr="00695FEE" w:rsidRDefault="0004623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95FEE">
        <w:rPr>
          <w:b/>
          <w:sz w:val="28"/>
          <w:szCs w:val="28"/>
        </w:rPr>
        <w:t>PLAN DU COURS</w:t>
      </w:r>
    </w:p>
    <w:p w14:paraId="08322627" w14:textId="49AE5426" w:rsidR="00D3749F" w:rsidRPr="00695FEE" w:rsidRDefault="00046234">
      <w:pPr>
        <w:spacing w:after="0" w:line="240" w:lineRule="auto"/>
        <w:jc w:val="both"/>
      </w:pPr>
      <w:r w:rsidRPr="00695FEE">
        <w:t>Notions d’écologie</w:t>
      </w:r>
    </w:p>
    <w:p w14:paraId="06EE6855" w14:textId="6D7B7A94" w:rsidR="00D3749F" w:rsidRPr="00695FEE" w:rsidRDefault="007C419C" w:rsidP="007C419C">
      <w:pPr>
        <w:spacing w:after="0" w:line="240" w:lineRule="auto"/>
        <w:ind w:firstLine="708"/>
        <w:jc w:val="both"/>
      </w:pPr>
      <w:r>
        <w:t>Grands biomes</w:t>
      </w:r>
      <w:r w:rsidR="00046234" w:rsidRPr="00695FEE">
        <w:t xml:space="preserve"> </w:t>
      </w:r>
    </w:p>
    <w:p w14:paraId="03254745" w14:textId="61DE49A4" w:rsidR="00D3749F" w:rsidRPr="00695FEE" w:rsidRDefault="007C419C" w:rsidP="007C419C">
      <w:pPr>
        <w:spacing w:after="0" w:line="240" w:lineRule="auto"/>
        <w:ind w:firstLine="708"/>
        <w:jc w:val="both"/>
      </w:pPr>
      <w:r>
        <w:t>Facteurs et niche écologique</w:t>
      </w:r>
    </w:p>
    <w:p w14:paraId="482BD2FF" w14:textId="2AE25212" w:rsidR="00D3749F" w:rsidRPr="00695FEE" w:rsidRDefault="00046234">
      <w:pPr>
        <w:spacing w:after="0" w:line="240" w:lineRule="auto"/>
        <w:jc w:val="both"/>
      </w:pPr>
      <w:r w:rsidRPr="00695FEE">
        <w:t xml:space="preserve"> </w:t>
      </w:r>
      <w:r w:rsidR="007C419C">
        <w:tab/>
      </w:r>
      <w:r w:rsidRPr="00695FEE">
        <w:t>Interactions biotiques</w:t>
      </w:r>
    </w:p>
    <w:p w14:paraId="544A4B91" w14:textId="737EEFFB" w:rsidR="00D3749F" w:rsidRDefault="00046234">
      <w:pPr>
        <w:spacing w:after="0" w:line="240" w:lineRule="auto"/>
        <w:jc w:val="both"/>
      </w:pPr>
      <w:r w:rsidRPr="00695FEE">
        <w:t xml:space="preserve"> </w:t>
      </w:r>
      <w:r w:rsidR="007C419C">
        <w:tab/>
      </w:r>
      <w:r w:rsidR="007C419C" w:rsidRPr="00695FEE">
        <w:t>Écologie</w:t>
      </w:r>
      <w:r w:rsidRPr="00695FEE">
        <w:t xml:space="preserve"> fonctionnelle</w:t>
      </w:r>
      <w:r w:rsidR="007C419C">
        <w:t xml:space="preserve"> et écologie évolutive</w:t>
      </w:r>
    </w:p>
    <w:p w14:paraId="1C0711E8" w14:textId="3EE1B0A9" w:rsidR="007C419C" w:rsidRPr="00695FEE" w:rsidRDefault="007C419C">
      <w:pPr>
        <w:spacing w:after="0" w:line="240" w:lineRule="auto"/>
        <w:jc w:val="both"/>
      </w:pPr>
      <w:r>
        <w:t xml:space="preserve"> </w:t>
      </w:r>
      <w:r>
        <w:tab/>
        <w:t>Dynamique de la biodiversité</w:t>
      </w:r>
    </w:p>
    <w:p w14:paraId="4141DCBB" w14:textId="0A0A420E" w:rsidR="00D3749F" w:rsidRPr="00695FEE" w:rsidRDefault="007C419C">
      <w:pPr>
        <w:spacing w:after="0" w:line="240" w:lineRule="auto"/>
        <w:jc w:val="both"/>
      </w:pPr>
      <w:r>
        <w:t>Penser la transition écologique dans l’aménagement</w:t>
      </w:r>
    </w:p>
    <w:p w14:paraId="0AFCF412" w14:textId="58BDDD47" w:rsidR="00D3749F" w:rsidRPr="00695FEE" w:rsidRDefault="007C419C" w:rsidP="007C419C">
      <w:pPr>
        <w:spacing w:after="0" w:line="240" w:lineRule="auto"/>
        <w:ind w:firstLine="708"/>
        <w:jc w:val="both"/>
      </w:pPr>
      <w:r>
        <w:t>Les trames vertes et bleues</w:t>
      </w:r>
    </w:p>
    <w:p w14:paraId="252C061F" w14:textId="415FB0CC" w:rsidR="00D3749F" w:rsidRDefault="00046234">
      <w:pPr>
        <w:spacing w:after="0" w:line="240" w:lineRule="auto"/>
        <w:jc w:val="both"/>
      </w:pPr>
      <w:r w:rsidRPr="00695FEE">
        <w:t xml:space="preserve"> </w:t>
      </w:r>
      <w:r w:rsidR="007C419C">
        <w:tab/>
        <w:t>Éléments d’écologie du paysage</w:t>
      </w:r>
    </w:p>
    <w:p w14:paraId="66EE85F2" w14:textId="0BF03901" w:rsidR="007C419C" w:rsidRDefault="007C419C">
      <w:pPr>
        <w:spacing w:after="0" w:line="240" w:lineRule="auto"/>
        <w:jc w:val="both"/>
      </w:pPr>
      <w:r>
        <w:tab/>
        <w:t>Des fonctionnalités aux services écosystémiques</w:t>
      </w:r>
    </w:p>
    <w:p w14:paraId="7F42DD48" w14:textId="5FCAEF8F" w:rsidR="007C419C" w:rsidRPr="00695FEE" w:rsidRDefault="007C419C">
      <w:pPr>
        <w:spacing w:after="0" w:line="240" w:lineRule="auto"/>
        <w:jc w:val="both"/>
      </w:pPr>
      <w:r>
        <w:tab/>
        <w:t>Conservation et restauration écologiques</w:t>
      </w:r>
    </w:p>
    <w:p w14:paraId="24F393DA" w14:textId="102414B5" w:rsidR="00D3749F" w:rsidRPr="00695FEE" w:rsidRDefault="007C419C" w:rsidP="007C419C">
      <w:pPr>
        <w:spacing w:after="0" w:line="240" w:lineRule="auto"/>
        <w:jc w:val="both"/>
      </w:pPr>
      <w:r>
        <w:tab/>
        <w:t>La séquence ERC</w:t>
      </w:r>
    </w:p>
    <w:p w14:paraId="6E0DFDEC" w14:textId="4C19107C" w:rsidR="007C419C" w:rsidRPr="00695FEE" w:rsidRDefault="007C419C">
      <w:pPr>
        <w:spacing w:after="0" w:line="240" w:lineRule="auto"/>
        <w:jc w:val="both"/>
      </w:pPr>
      <w:r>
        <w:t>Étude de cas : Tourisme et transition écologique dans les espaces naturels protégés</w:t>
      </w:r>
    </w:p>
    <w:p w14:paraId="3DA84323" w14:textId="77777777" w:rsidR="00D3749F" w:rsidRPr="008017C6" w:rsidRDefault="00D3749F">
      <w:pPr>
        <w:shd w:val="clear" w:color="auto" w:fill="FFFFFF" w:themeFill="background1"/>
        <w:spacing w:after="0" w:line="240" w:lineRule="auto"/>
        <w:jc w:val="both"/>
        <w:rPr>
          <w:bCs/>
          <w:sz w:val="24"/>
          <w:szCs w:val="24"/>
        </w:rPr>
      </w:pPr>
    </w:p>
    <w:p w14:paraId="7B2458C6" w14:textId="77777777" w:rsidR="00D3749F" w:rsidRPr="00695FEE" w:rsidRDefault="0004623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95FEE">
        <w:rPr>
          <w:b/>
          <w:sz w:val="28"/>
          <w:szCs w:val="28"/>
        </w:rPr>
        <w:t>COMPETENCES VISEES</w:t>
      </w:r>
    </w:p>
    <w:p w14:paraId="79203AC0" w14:textId="77777777" w:rsidR="00D3749F" w:rsidRPr="00695FEE" w:rsidRDefault="00046234">
      <w:pPr>
        <w:spacing w:after="0" w:line="240" w:lineRule="auto"/>
        <w:jc w:val="both"/>
        <w:rPr>
          <w:rFonts w:cs="Arial"/>
        </w:rPr>
      </w:pPr>
      <w:r w:rsidRPr="00695FEE">
        <w:t>Compréhension des problématiques écologiques dans le cadre de projets ayant des impacts sur les écosystèmes.</w:t>
      </w:r>
    </w:p>
    <w:p w14:paraId="647ADB79" w14:textId="080F3735" w:rsidR="00D3749F" w:rsidRDefault="008069D5">
      <w:pPr>
        <w:spacing w:after="0" w:line="240" w:lineRule="auto"/>
        <w:jc w:val="both"/>
      </w:pPr>
      <w:r>
        <w:t>Aménagement du territoire s’inscrivant dans le cadre de la transition écologique.</w:t>
      </w:r>
    </w:p>
    <w:p w14:paraId="52C1413C" w14:textId="77777777" w:rsidR="00B70CD0" w:rsidRDefault="00B70CD0">
      <w:pPr>
        <w:spacing w:after="0" w:line="240" w:lineRule="auto"/>
        <w:jc w:val="both"/>
      </w:pPr>
    </w:p>
    <w:p w14:paraId="2B3987F3" w14:textId="77777777" w:rsidR="002570BE" w:rsidRDefault="002570BE">
      <w:pPr>
        <w:spacing w:after="0" w:line="240" w:lineRule="auto"/>
        <w:jc w:val="both"/>
      </w:pPr>
    </w:p>
    <w:p w14:paraId="6CBFD0C2" w14:textId="77777777" w:rsidR="002570BE" w:rsidRDefault="002570BE">
      <w:pPr>
        <w:spacing w:after="0" w:line="240" w:lineRule="auto"/>
        <w:jc w:val="both"/>
      </w:pPr>
    </w:p>
    <w:p w14:paraId="66F54294" w14:textId="77777777" w:rsidR="002570BE" w:rsidRPr="00695FEE" w:rsidRDefault="002570BE">
      <w:pPr>
        <w:spacing w:after="0" w:line="240" w:lineRule="auto"/>
        <w:jc w:val="both"/>
      </w:pPr>
    </w:p>
    <w:p w14:paraId="2AF5A0AE" w14:textId="77777777" w:rsidR="00D3749F" w:rsidRPr="00695FEE" w:rsidRDefault="0004623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95FEE">
        <w:rPr>
          <w:b/>
          <w:sz w:val="28"/>
          <w:szCs w:val="28"/>
        </w:rPr>
        <w:t>BIBLIOGRAPHIE</w:t>
      </w:r>
    </w:p>
    <w:p w14:paraId="34338791" w14:textId="77777777" w:rsidR="008017C6" w:rsidRPr="008017C6" w:rsidRDefault="00046234" w:rsidP="008017C6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7C419C">
        <w:t xml:space="preserve">Antoine, J. M., Milian, J., Alet, B., Angeliaume-Descamps, A., Bertrand, G., Briane, G., ... &amp; Maire, É. (2011). </w:t>
      </w:r>
      <w:r w:rsidRPr="008017C6">
        <w:rPr>
          <w:i/>
          <w:iCs/>
        </w:rPr>
        <w:t>La Ressource Montagne-Entre potentialités et contraintes</w:t>
      </w:r>
      <w:r w:rsidRPr="007C419C">
        <w:t xml:space="preserve"> (p. 288). </w:t>
      </w:r>
      <w:r w:rsidR="007C419C" w:rsidRPr="007C419C">
        <w:t>L’Harmattan</w:t>
      </w:r>
      <w:r w:rsidRPr="007C419C">
        <w:t xml:space="preserve">. </w:t>
      </w:r>
      <w:r w:rsidRPr="008017C6">
        <w:rPr>
          <w:i/>
        </w:rPr>
        <w:t>Dispo BU</w:t>
      </w:r>
    </w:p>
    <w:p w14:paraId="2A4A07C7" w14:textId="77777777" w:rsidR="008017C6" w:rsidRDefault="008017C6" w:rsidP="008017C6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CA11AB">
        <w:t xml:space="preserve">Burel F. &amp; Baudry J., 1999. </w:t>
      </w:r>
      <w:r w:rsidRPr="008017C6">
        <w:rPr>
          <w:i/>
          <w:iCs/>
        </w:rPr>
        <w:t>Écologie du paysage : concepts, méthodes et applications</w:t>
      </w:r>
      <w:r w:rsidRPr="00CA11AB">
        <w:t>. Ed. Lavoisier, 400 p.</w:t>
      </w:r>
    </w:p>
    <w:p w14:paraId="32A95D25" w14:textId="77777777" w:rsidR="008017C6" w:rsidRPr="008017C6" w:rsidRDefault="008017C6" w:rsidP="008017C6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8017C6">
        <w:rPr>
          <w:rFonts w:eastAsia="Times New Roman"/>
          <w:lang w:eastAsia="fr-FR"/>
        </w:rPr>
        <w:t xml:space="preserve">Collectif FORTES, 2020. </w:t>
      </w:r>
      <w:r w:rsidRPr="008017C6">
        <w:rPr>
          <w:rFonts w:eastAsia="Times New Roman"/>
          <w:i/>
          <w:iCs/>
          <w:lang w:eastAsia="fr-FR"/>
        </w:rPr>
        <w:t>Manuel de la grande transition</w:t>
      </w:r>
      <w:r w:rsidRPr="008017C6">
        <w:rPr>
          <w:rFonts w:eastAsia="Times New Roman"/>
          <w:lang w:eastAsia="fr-FR"/>
        </w:rPr>
        <w:t>. Ed. Les liens qui libèrent, 447 p.</w:t>
      </w:r>
    </w:p>
    <w:p w14:paraId="6013F06D" w14:textId="77777777" w:rsidR="008017C6" w:rsidRPr="008017C6" w:rsidRDefault="00046234" w:rsidP="008017C6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8017C6">
        <w:rPr>
          <w:rFonts w:eastAsia="Times New Roman"/>
          <w:lang w:eastAsia="fr-FR"/>
        </w:rPr>
        <w:t xml:space="preserve">Martin, G., Frascaria-Lacoste, N., Hay, J., Levrel, H., &amp; Pioch, S. (2015). </w:t>
      </w:r>
      <w:r w:rsidRPr="008017C6">
        <w:rPr>
          <w:rFonts w:eastAsia="Times New Roman"/>
          <w:i/>
          <w:iCs/>
          <w:lang w:eastAsia="fr-FR"/>
        </w:rPr>
        <w:t>Restaurer la nature pour atténuer les impacts du développement</w:t>
      </w:r>
      <w:r w:rsidR="007C419C" w:rsidRPr="008017C6">
        <w:rPr>
          <w:rFonts w:eastAsia="Times New Roman"/>
          <w:i/>
          <w:iCs/>
          <w:lang w:eastAsia="fr-FR"/>
        </w:rPr>
        <w:t xml:space="preserve"> </w:t>
      </w:r>
      <w:r w:rsidRPr="008017C6">
        <w:rPr>
          <w:rFonts w:eastAsia="Times New Roman"/>
          <w:i/>
          <w:iCs/>
          <w:lang w:eastAsia="fr-FR"/>
        </w:rPr>
        <w:t>: analyse des mesures compensatoires pour la biodiversité</w:t>
      </w:r>
      <w:r w:rsidRPr="008017C6">
        <w:rPr>
          <w:rFonts w:eastAsia="Times New Roman"/>
          <w:lang w:eastAsia="fr-FR"/>
        </w:rPr>
        <w:t>. Editions Quae.</w:t>
      </w:r>
    </w:p>
    <w:p w14:paraId="16A82C26" w14:textId="11E3828C" w:rsidR="00D3749F" w:rsidRPr="008017C6" w:rsidRDefault="00046234" w:rsidP="008017C6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8017C6">
        <w:rPr>
          <w:rFonts w:eastAsia="Times New Roman"/>
          <w:lang w:eastAsia="fr-FR"/>
        </w:rPr>
        <w:t>Vanpeene-Bruhier</w:t>
      </w:r>
      <w:r w:rsidR="008017C6" w:rsidRPr="008017C6">
        <w:rPr>
          <w:rFonts w:eastAsia="Times New Roman"/>
          <w:lang w:eastAsia="fr-FR"/>
        </w:rPr>
        <w:t xml:space="preserve"> S.</w:t>
      </w:r>
      <w:r w:rsidRPr="008017C6">
        <w:rPr>
          <w:rFonts w:eastAsia="Times New Roman"/>
          <w:lang w:eastAsia="fr-FR"/>
        </w:rPr>
        <w:t xml:space="preserve">, P.A. Pissard, C. Bassi. 2013. Mesures compensatoires des atteintes à l’environnement dans les projets </w:t>
      </w:r>
      <w:r w:rsidR="007C419C" w:rsidRPr="008017C6">
        <w:rPr>
          <w:rFonts w:eastAsia="Times New Roman"/>
          <w:lang w:eastAsia="fr-FR"/>
        </w:rPr>
        <w:t>d’infrastructures :</w:t>
      </w:r>
      <w:r w:rsidRPr="008017C6">
        <w:rPr>
          <w:rFonts w:eastAsia="Times New Roman"/>
          <w:lang w:eastAsia="fr-FR"/>
        </w:rPr>
        <w:t xml:space="preserve"> de nouvelles exigences réglementaires pour une amélioration des pratiques?. </w:t>
      </w:r>
      <w:r w:rsidRPr="008017C6">
        <w:rPr>
          <w:rFonts w:eastAsia="Times New Roman"/>
          <w:i/>
          <w:lang w:eastAsia="fr-FR"/>
        </w:rPr>
        <w:t xml:space="preserve">Sciences Eaux et </w:t>
      </w:r>
      <w:r w:rsidR="007C419C" w:rsidRPr="008017C6">
        <w:rPr>
          <w:rFonts w:eastAsia="Times New Roman"/>
          <w:i/>
          <w:lang w:eastAsia="fr-FR"/>
        </w:rPr>
        <w:t>Territoires</w:t>
      </w:r>
      <w:r w:rsidR="007C419C" w:rsidRPr="008017C6">
        <w:rPr>
          <w:rFonts w:eastAsia="Times New Roman"/>
          <w:lang w:eastAsia="fr-FR"/>
        </w:rPr>
        <w:t xml:space="preserve"> :</w:t>
      </w:r>
      <w:r w:rsidRPr="008017C6">
        <w:rPr>
          <w:rFonts w:eastAsia="Times New Roman"/>
          <w:lang w:eastAsia="fr-FR"/>
        </w:rPr>
        <w:t xml:space="preserve"> la Revue du IRSTEA, IRSTEA, 2013, 7 p. &lt;hal-00787484&gt;</w:t>
      </w:r>
    </w:p>
    <w:p w14:paraId="06E2FCC3" w14:textId="77777777" w:rsidR="00D3749F" w:rsidRPr="00695FEE" w:rsidRDefault="00D3749F">
      <w:pPr>
        <w:pStyle w:val="Corpsdetexte"/>
      </w:pPr>
    </w:p>
    <w:p w14:paraId="4D076A3B" w14:textId="77777777" w:rsidR="00D3749F" w:rsidRPr="00695FEE" w:rsidRDefault="0004623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95FEE">
        <w:rPr>
          <w:b/>
          <w:sz w:val="28"/>
          <w:szCs w:val="28"/>
        </w:rPr>
        <w:t>MOTS CLES</w:t>
      </w:r>
    </w:p>
    <w:p w14:paraId="3083256A" w14:textId="6B917175" w:rsidR="00D3749F" w:rsidRPr="00695FEE" w:rsidRDefault="00046234">
      <w:pPr>
        <w:pStyle w:val="Corpsdetexte"/>
        <w:rPr>
          <w:rFonts w:cs="Arial"/>
        </w:rPr>
      </w:pPr>
      <w:r w:rsidRPr="00695FEE">
        <w:rPr>
          <w:rFonts w:cs="Arial"/>
        </w:rPr>
        <w:t>#Ecosystèmes #Biodiversité #Impacts</w:t>
      </w:r>
      <w:r w:rsidR="00512F35">
        <w:rPr>
          <w:rFonts w:cs="Arial"/>
        </w:rPr>
        <w:t xml:space="preserve"> #ingéniérie écologique #conservation #compensation #continuités écologiques</w:t>
      </w:r>
    </w:p>
    <w:p w14:paraId="323F0E07" w14:textId="77777777" w:rsidR="00D3749F" w:rsidRPr="00695FEE" w:rsidRDefault="00D3749F">
      <w:pPr>
        <w:pStyle w:val="Corpsdetexte"/>
        <w:rPr>
          <w:rFonts w:cs="Arial"/>
        </w:rPr>
      </w:pPr>
    </w:p>
    <w:p w14:paraId="5696B195" w14:textId="77777777" w:rsidR="00D3749F" w:rsidRPr="00695FEE" w:rsidRDefault="0004623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695FEE">
        <w:rPr>
          <w:b/>
          <w:sz w:val="28"/>
          <w:szCs w:val="28"/>
        </w:rPr>
        <w:t>MODALITES D’EVALUATION</w:t>
      </w:r>
    </w:p>
    <w:p w14:paraId="6E277B44" w14:textId="48B63623" w:rsidR="00D3749F" w:rsidRPr="00695FEE" w:rsidRDefault="00046234">
      <w:pPr>
        <w:pStyle w:val="Corpsdetexte"/>
        <w:rPr>
          <w:rFonts w:cs="Arial"/>
        </w:rPr>
      </w:pPr>
      <w:r w:rsidRPr="00695FEE">
        <w:rPr>
          <w:rFonts w:cs="Arial"/>
        </w:rPr>
        <w:t>Veuillez</w:t>
      </w:r>
      <w:r w:rsidR="008017C6">
        <w:rPr>
          <w:rFonts w:cs="Arial"/>
        </w:rPr>
        <w:t xml:space="preserve"> </w:t>
      </w:r>
      <w:r w:rsidRPr="00695FEE">
        <w:rPr>
          <w:rFonts w:cs="Arial"/>
        </w:rPr>
        <w:t>vous référer au document Modalités de Contrôle des Connaissances (MCC) en ligne sur le site de la FEG</w:t>
      </w:r>
    </w:p>
    <w:p w14:paraId="7BB0CD3F" w14:textId="77777777" w:rsidR="00D3749F" w:rsidRPr="00695FEE" w:rsidRDefault="00D3749F">
      <w:pPr>
        <w:pStyle w:val="Corpsdetexte"/>
        <w:rPr>
          <w:rFonts w:cs="Arial"/>
        </w:rPr>
      </w:pPr>
    </w:p>
    <w:sectPr w:rsidR="00D3749F" w:rsidRPr="00695FEE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E703F" w14:textId="77777777" w:rsidR="005A247C" w:rsidRDefault="005A247C">
      <w:pPr>
        <w:spacing w:after="0" w:line="240" w:lineRule="auto"/>
      </w:pPr>
      <w:r>
        <w:separator/>
      </w:r>
    </w:p>
  </w:endnote>
  <w:endnote w:type="continuationSeparator" w:id="0">
    <w:p w14:paraId="704D2603" w14:textId="77777777" w:rsidR="005A247C" w:rsidRDefault="005A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22363" w14:textId="77777777" w:rsidR="00D3749F" w:rsidRDefault="00D3749F">
    <w:pPr>
      <w:pStyle w:val="Pieddepage"/>
    </w:pPr>
  </w:p>
  <w:p w14:paraId="54C45485" w14:textId="77777777" w:rsidR="00D3749F" w:rsidRDefault="00D374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68108" w14:textId="77777777" w:rsidR="005A247C" w:rsidRDefault="005A247C">
      <w:pPr>
        <w:spacing w:after="0" w:line="240" w:lineRule="auto"/>
      </w:pPr>
      <w:r>
        <w:separator/>
      </w:r>
    </w:p>
  </w:footnote>
  <w:footnote w:type="continuationSeparator" w:id="0">
    <w:p w14:paraId="64FBA648" w14:textId="77777777" w:rsidR="005A247C" w:rsidRDefault="005A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35490"/>
    <w:multiLevelType w:val="hybridMultilevel"/>
    <w:tmpl w:val="BA700EB4"/>
    <w:lvl w:ilvl="0" w:tplc="4E5A591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C0ABD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C0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65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8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27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1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E6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269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81A"/>
    <w:multiLevelType w:val="hybridMultilevel"/>
    <w:tmpl w:val="893C3276"/>
    <w:lvl w:ilvl="0" w:tplc="3E802A7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F161B7"/>
    <w:multiLevelType w:val="hybridMultilevel"/>
    <w:tmpl w:val="D1600290"/>
    <w:lvl w:ilvl="0" w:tplc="9768D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2E9AE0">
      <w:start w:val="1"/>
      <w:numFmt w:val="decimal"/>
      <w:lvlText w:val=""/>
      <w:lvlJc w:val="left"/>
    </w:lvl>
    <w:lvl w:ilvl="2" w:tplc="283CE1AC">
      <w:start w:val="1"/>
      <w:numFmt w:val="decimal"/>
      <w:lvlText w:val=""/>
      <w:lvlJc w:val="left"/>
    </w:lvl>
    <w:lvl w:ilvl="3" w:tplc="2904C180">
      <w:start w:val="1"/>
      <w:numFmt w:val="decimal"/>
      <w:lvlText w:val=""/>
      <w:lvlJc w:val="left"/>
    </w:lvl>
    <w:lvl w:ilvl="4" w:tplc="E7460634">
      <w:start w:val="1"/>
      <w:numFmt w:val="decimal"/>
      <w:lvlText w:val=""/>
      <w:lvlJc w:val="left"/>
    </w:lvl>
    <w:lvl w:ilvl="5" w:tplc="6C9054AE">
      <w:start w:val="1"/>
      <w:numFmt w:val="decimal"/>
      <w:lvlText w:val=""/>
      <w:lvlJc w:val="left"/>
    </w:lvl>
    <w:lvl w:ilvl="6" w:tplc="F634DC8C">
      <w:start w:val="1"/>
      <w:numFmt w:val="decimal"/>
      <w:lvlText w:val=""/>
      <w:lvlJc w:val="left"/>
    </w:lvl>
    <w:lvl w:ilvl="7" w:tplc="942AA23E">
      <w:start w:val="1"/>
      <w:numFmt w:val="decimal"/>
      <w:lvlText w:val=""/>
      <w:lvlJc w:val="left"/>
    </w:lvl>
    <w:lvl w:ilvl="8" w:tplc="D08ADBF2">
      <w:start w:val="1"/>
      <w:numFmt w:val="decimal"/>
      <w:lvlText w:val=""/>
      <w:lvlJc w:val="left"/>
    </w:lvl>
  </w:abstractNum>
  <w:abstractNum w:abstractNumId="3" w15:restartNumberingAfterBreak="0">
    <w:nsid w:val="5F6C7C93"/>
    <w:multiLevelType w:val="hybridMultilevel"/>
    <w:tmpl w:val="B7605B32"/>
    <w:lvl w:ilvl="0" w:tplc="053C4E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CCE9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B47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6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2BE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22D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0D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42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F6F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14185"/>
    <w:multiLevelType w:val="hybridMultilevel"/>
    <w:tmpl w:val="ABDA4EB2"/>
    <w:lvl w:ilvl="0" w:tplc="8DA0C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6B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660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6D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AE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34C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C9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46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61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B4749"/>
    <w:multiLevelType w:val="hybridMultilevel"/>
    <w:tmpl w:val="0DFAA2F0"/>
    <w:lvl w:ilvl="0" w:tplc="562C5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FC8E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74D8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2087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B0B5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50E1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C6A2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788E2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A8A7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992342">
    <w:abstractNumId w:val="4"/>
  </w:num>
  <w:num w:numId="2" w16cid:durableId="1633707896">
    <w:abstractNumId w:val="2"/>
  </w:num>
  <w:num w:numId="3" w16cid:durableId="1652519524">
    <w:abstractNumId w:val="5"/>
  </w:num>
  <w:num w:numId="4" w16cid:durableId="1052508945">
    <w:abstractNumId w:val="3"/>
  </w:num>
  <w:num w:numId="5" w16cid:durableId="1348100344">
    <w:abstractNumId w:val="0"/>
  </w:num>
  <w:num w:numId="6" w16cid:durableId="19203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9F"/>
    <w:rsid w:val="00046234"/>
    <w:rsid w:val="000D7EC8"/>
    <w:rsid w:val="002570BE"/>
    <w:rsid w:val="0026168A"/>
    <w:rsid w:val="002E6846"/>
    <w:rsid w:val="004E3DDF"/>
    <w:rsid w:val="00512F35"/>
    <w:rsid w:val="005A247C"/>
    <w:rsid w:val="00695FEE"/>
    <w:rsid w:val="007C419C"/>
    <w:rsid w:val="008017C6"/>
    <w:rsid w:val="008069D5"/>
    <w:rsid w:val="008A4FA9"/>
    <w:rsid w:val="00946D9F"/>
    <w:rsid w:val="009D5D22"/>
    <w:rsid w:val="00B35CF9"/>
    <w:rsid w:val="00B70CD0"/>
    <w:rsid w:val="00B70DA1"/>
    <w:rsid w:val="00BF7BB6"/>
    <w:rsid w:val="00CA11AB"/>
    <w:rsid w:val="00D3749F"/>
    <w:rsid w:val="00D6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D8D9"/>
  <w15:docId w15:val="{DA9FE6FE-9136-4206-82CE-BD003C4C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style7style9">
    <w:name w:val="style7 style9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16</cp:revision>
  <dcterms:created xsi:type="dcterms:W3CDTF">2024-12-18T11:33:00Z</dcterms:created>
  <dcterms:modified xsi:type="dcterms:W3CDTF">2025-03-07T15:00:00Z</dcterms:modified>
</cp:coreProperties>
</file>